
<file path=[Content_Types].xml><?xml version="1.0" encoding="utf-8"?>
<Types xmlns="http://schemas.openxmlformats.org/package/2006/content-types">
  <Override PartName="/word/charts/chart10.xml" ContentType="application/vnd.openxmlformats-officedocument.drawingml.chart+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16" w:rsidRPr="001B4AF1" w:rsidRDefault="00AF5616" w:rsidP="001B4AF1">
      <w:pPr>
        <w:pStyle w:val="Default"/>
        <w:spacing w:line="276" w:lineRule="auto"/>
        <w:jc w:val="both"/>
        <w:rPr>
          <w:b/>
          <w:bCs/>
          <w:color w:val="auto"/>
          <w:sz w:val="22"/>
          <w:szCs w:val="22"/>
        </w:rPr>
      </w:pPr>
    </w:p>
    <w:p w:rsidR="00AF5616" w:rsidRPr="001B4AF1" w:rsidRDefault="00A4473B" w:rsidP="001B4AF1">
      <w:pPr>
        <w:pStyle w:val="Default"/>
        <w:spacing w:line="276" w:lineRule="auto"/>
        <w:jc w:val="center"/>
        <w:rPr>
          <w:b/>
          <w:bCs/>
          <w:color w:val="auto"/>
          <w:sz w:val="22"/>
          <w:szCs w:val="22"/>
        </w:rPr>
      </w:pPr>
      <w:r w:rsidRPr="001B4AF1">
        <w:rPr>
          <w:b/>
          <w:bCs/>
          <w:color w:val="auto"/>
          <w:sz w:val="22"/>
          <w:szCs w:val="22"/>
        </w:rPr>
        <w:t>АНАЛИЗА РЕЗУЛТАТА</w:t>
      </w:r>
      <w:r w:rsidR="00AF5616" w:rsidRPr="001B4AF1">
        <w:rPr>
          <w:b/>
          <w:bCs/>
          <w:color w:val="auto"/>
          <w:sz w:val="22"/>
          <w:szCs w:val="22"/>
        </w:rPr>
        <w:t xml:space="preserve"> АНКЕТА О ЗАДОВОЉСТВУ ПОСЛОДАВАЦА СТЕЧЕНИМ КВАЛИФИКАЦИЈАМА</w:t>
      </w:r>
      <w:r w:rsidR="00701AB0" w:rsidRPr="001B4AF1">
        <w:rPr>
          <w:b/>
          <w:bCs/>
          <w:color w:val="auto"/>
          <w:sz w:val="22"/>
          <w:szCs w:val="22"/>
        </w:rPr>
        <w:t xml:space="preserve"> ДИПЛОМИРАНИХ ИНЖЕЊЕРA АРХИТЕКТУРЕ</w:t>
      </w:r>
    </w:p>
    <w:p w:rsidR="002D7461" w:rsidRPr="001B4AF1" w:rsidRDefault="002D7461" w:rsidP="001B4AF1">
      <w:pPr>
        <w:pStyle w:val="Default"/>
        <w:spacing w:line="276" w:lineRule="auto"/>
        <w:jc w:val="both"/>
        <w:rPr>
          <w:b/>
          <w:bCs/>
          <w:color w:val="auto"/>
          <w:sz w:val="22"/>
          <w:szCs w:val="22"/>
        </w:rPr>
      </w:pPr>
    </w:p>
    <w:p w:rsidR="002D7461" w:rsidRPr="001B4AF1" w:rsidRDefault="002D7461" w:rsidP="001B4AF1">
      <w:pPr>
        <w:pStyle w:val="Default"/>
        <w:spacing w:line="276" w:lineRule="auto"/>
        <w:jc w:val="both"/>
        <w:rPr>
          <w:color w:val="auto"/>
          <w:sz w:val="22"/>
          <w:szCs w:val="22"/>
        </w:rPr>
      </w:pPr>
    </w:p>
    <w:p w:rsidR="00AF5616" w:rsidRPr="001B4AF1" w:rsidRDefault="00AF5616" w:rsidP="001B4AF1">
      <w:pPr>
        <w:pStyle w:val="Default"/>
        <w:spacing w:line="276" w:lineRule="auto"/>
        <w:jc w:val="both"/>
        <w:rPr>
          <w:color w:val="auto"/>
          <w:sz w:val="22"/>
          <w:szCs w:val="22"/>
        </w:rPr>
      </w:pPr>
      <w:r w:rsidRPr="001B4AF1">
        <w:rPr>
          <w:b/>
          <w:bCs/>
          <w:color w:val="auto"/>
          <w:sz w:val="22"/>
          <w:szCs w:val="22"/>
        </w:rPr>
        <w:t xml:space="preserve">1. Испитивана популација, узорак и ток анкетирања </w:t>
      </w:r>
    </w:p>
    <w:p w:rsidR="00AF5616" w:rsidRPr="001B4AF1" w:rsidRDefault="00AA7EC7" w:rsidP="001B4AF1">
      <w:pPr>
        <w:pStyle w:val="Default"/>
        <w:spacing w:before="120" w:line="276" w:lineRule="auto"/>
        <w:jc w:val="both"/>
        <w:rPr>
          <w:color w:val="auto"/>
          <w:sz w:val="22"/>
          <w:szCs w:val="22"/>
        </w:rPr>
      </w:pPr>
      <w:r w:rsidRPr="001B4AF1">
        <w:rPr>
          <w:color w:val="auto"/>
          <w:sz w:val="22"/>
          <w:szCs w:val="22"/>
        </w:rPr>
        <w:tab/>
      </w:r>
      <w:r w:rsidR="00AF5616" w:rsidRPr="001B4AF1">
        <w:rPr>
          <w:color w:val="auto"/>
          <w:sz w:val="22"/>
          <w:szCs w:val="22"/>
        </w:rPr>
        <w:t>Анкетирањем су обухваћени дипломирани инжењери архитектуре запослени у компанијама, јавним предузећима, локалним самоуправама и привредним друштвима у градовима на подручју Ниша и југоисточне Србије. Избор градова извршен је према преовлађујућем месту пребивалишта студената Факултета</w:t>
      </w:r>
      <w:r w:rsidRPr="001B4AF1">
        <w:rPr>
          <w:color w:val="auto"/>
          <w:sz w:val="22"/>
          <w:szCs w:val="22"/>
        </w:rPr>
        <w:t>,</w:t>
      </w:r>
      <w:r w:rsidR="00AF5616" w:rsidRPr="001B4AF1">
        <w:rPr>
          <w:color w:val="auto"/>
          <w:sz w:val="22"/>
          <w:szCs w:val="22"/>
        </w:rPr>
        <w:t xml:space="preserve"> јер се пошло од претпоставке да се највећи број дипломираних студената по завршетку студија враћа у своја места и тамо започиње професионалну каријеру. </w:t>
      </w:r>
    </w:p>
    <w:p w:rsidR="00AF5616" w:rsidRPr="001B4AF1" w:rsidRDefault="00AA7EC7" w:rsidP="001B4AF1">
      <w:pPr>
        <w:pStyle w:val="Default"/>
        <w:spacing w:line="276" w:lineRule="auto"/>
        <w:jc w:val="both"/>
        <w:rPr>
          <w:color w:val="auto"/>
          <w:sz w:val="22"/>
          <w:szCs w:val="22"/>
        </w:rPr>
      </w:pPr>
      <w:r w:rsidRPr="001B4AF1">
        <w:rPr>
          <w:color w:val="auto"/>
          <w:sz w:val="22"/>
          <w:szCs w:val="22"/>
        </w:rPr>
        <w:tab/>
      </w:r>
      <w:r w:rsidR="00AF5616" w:rsidRPr="001B4AF1">
        <w:rPr>
          <w:color w:val="auto"/>
          <w:sz w:val="22"/>
          <w:szCs w:val="22"/>
        </w:rPr>
        <w:t xml:space="preserve">Руководиоцима институција поштом су послати анкетни упитници, са молбом да их дистрибуирају запосленима у служби који непосредно надгледају рад дипломираних инжењерa архитектуре, који су диплому стекли на Грађевинско-архитектонском факултету у Нишу. Комисији је на крају процеса пристигло </w:t>
      </w:r>
      <w:r w:rsidR="00F356FF" w:rsidRPr="001B4AF1">
        <w:rPr>
          <w:color w:val="auto"/>
          <w:sz w:val="22"/>
          <w:szCs w:val="22"/>
        </w:rPr>
        <w:t>7</w:t>
      </w:r>
      <w:r w:rsidR="00AF5616" w:rsidRPr="001B4AF1">
        <w:rPr>
          <w:color w:val="auto"/>
          <w:sz w:val="22"/>
          <w:szCs w:val="22"/>
        </w:rPr>
        <w:t xml:space="preserve"> попуњених упитника. </w:t>
      </w:r>
    </w:p>
    <w:p w:rsidR="002D7461" w:rsidRPr="001B4AF1" w:rsidRDefault="002D7461" w:rsidP="001B4AF1">
      <w:pPr>
        <w:pStyle w:val="Default"/>
        <w:spacing w:line="276" w:lineRule="auto"/>
        <w:jc w:val="both"/>
        <w:rPr>
          <w:color w:val="auto"/>
          <w:sz w:val="22"/>
          <w:szCs w:val="22"/>
        </w:rPr>
      </w:pPr>
    </w:p>
    <w:p w:rsidR="00AF5616" w:rsidRPr="001B4AF1" w:rsidRDefault="00AF5616" w:rsidP="001B4AF1">
      <w:pPr>
        <w:pStyle w:val="Default"/>
        <w:spacing w:before="120" w:line="276" w:lineRule="auto"/>
        <w:jc w:val="both"/>
        <w:rPr>
          <w:color w:val="auto"/>
          <w:sz w:val="22"/>
          <w:szCs w:val="22"/>
        </w:rPr>
      </w:pPr>
      <w:r w:rsidRPr="001B4AF1">
        <w:rPr>
          <w:b/>
          <w:bCs/>
          <w:color w:val="auto"/>
          <w:sz w:val="22"/>
          <w:szCs w:val="22"/>
        </w:rPr>
        <w:t xml:space="preserve">2. Опис анкетног упитника </w:t>
      </w:r>
    </w:p>
    <w:p w:rsidR="00AF5616" w:rsidRPr="001B4AF1" w:rsidRDefault="00AA7EC7" w:rsidP="001B4AF1">
      <w:pPr>
        <w:pStyle w:val="Default"/>
        <w:spacing w:before="120" w:line="276" w:lineRule="auto"/>
        <w:jc w:val="both"/>
        <w:rPr>
          <w:color w:val="auto"/>
          <w:sz w:val="22"/>
          <w:szCs w:val="22"/>
        </w:rPr>
      </w:pPr>
      <w:r w:rsidRPr="001B4AF1">
        <w:rPr>
          <w:color w:val="auto"/>
          <w:sz w:val="22"/>
          <w:szCs w:val="22"/>
        </w:rPr>
        <w:tab/>
      </w:r>
      <w:r w:rsidR="00AF5616" w:rsidRPr="001B4AF1">
        <w:rPr>
          <w:color w:val="auto"/>
          <w:sz w:val="22"/>
          <w:szCs w:val="22"/>
        </w:rPr>
        <w:t xml:space="preserve">Подаци су прикупљани помоћу </w:t>
      </w:r>
      <w:r w:rsidR="00AF5616" w:rsidRPr="001B4AF1">
        <w:rPr>
          <w:iCs/>
          <w:color w:val="auto"/>
          <w:sz w:val="22"/>
          <w:szCs w:val="22"/>
        </w:rPr>
        <w:t>Упитника за вредновање стручних компетенција дипломираних инжењера</w:t>
      </w:r>
      <w:r w:rsidR="000E4D75" w:rsidRPr="001B4AF1">
        <w:rPr>
          <w:iCs/>
          <w:color w:val="auto"/>
          <w:sz w:val="22"/>
          <w:szCs w:val="22"/>
        </w:rPr>
        <w:t xml:space="preserve"> </w:t>
      </w:r>
      <w:r w:rsidR="00AF5616" w:rsidRPr="001B4AF1">
        <w:rPr>
          <w:iCs/>
          <w:color w:val="auto"/>
          <w:sz w:val="22"/>
          <w:szCs w:val="22"/>
        </w:rPr>
        <w:t>архитектуре</w:t>
      </w:r>
      <w:r w:rsidR="00AF5616" w:rsidRPr="001B4AF1">
        <w:rPr>
          <w:color w:val="auto"/>
          <w:sz w:val="22"/>
          <w:szCs w:val="22"/>
        </w:rPr>
        <w:t xml:space="preserve">, кога су попуњавали надлежни руководиоци. Овај упитник је посебно </w:t>
      </w:r>
      <w:r w:rsidR="00503397" w:rsidRPr="001B4AF1">
        <w:rPr>
          <w:color w:val="auto"/>
          <w:sz w:val="22"/>
          <w:szCs w:val="22"/>
        </w:rPr>
        <w:t>осмишљен</w:t>
      </w:r>
      <w:r w:rsidR="00AF5616" w:rsidRPr="001B4AF1">
        <w:rPr>
          <w:color w:val="auto"/>
          <w:sz w:val="22"/>
          <w:szCs w:val="22"/>
        </w:rPr>
        <w:t xml:space="preserve"> за ово испитивање, при чему се узети у обзир примери добре праксе самоевалуације на домаћим и страним универзитетима. </w:t>
      </w:r>
    </w:p>
    <w:p w:rsidR="00AF5616" w:rsidRPr="001B4AF1" w:rsidRDefault="00CB4E48" w:rsidP="001B4AF1">
      <w:pPr>
        <w:pStyle w:val="Default"/>
        <w:spacing w:line="276" w:lineRule="auto"/>
        <w:jc w:val="both"/>
        <w:rPr>
          <w:color w:val="auto"/>
          <w:sz w:val="22"/>
          <w:szCs w:val="22"/>
        </w:rPr>
      </w:pPr>
      <w:r w:rsidRPr="001B4AF1">
        <w:rPr>
          <w:color w:val="auto"/>
          <w:sz w:val="22"/>
          <w:szCs w:val="22"/>
        </w:rPr>
        <w:tab/>
      </w:r>
      <w:r w:rsidR="00AF5616" w:rsidRPr="001B4AF1">
        <w:rPr>
          <w:color w:val="auto"/>
          <w:sz w:val="22"/>
          <w:szCs w:val="22"/>
        </w:rPr>
        <w:t xml:space="preserve">Послодавцима је укратко објашњен циљ анкетирања и сам процес самовредновања који Факултет спроводи у процесу припрема за акредитацију. Пружена им је, такође, и могућност да оцене своје познавање тзв. Болоњског процеса. </w:t>
      </w:r>
    </w:p>
    <w:p w:rsidR="00AF5616" w:rsidRPr="001B4AF1" w:rsidRDefault="00CB4E48" w:rsidP="001B4AF1">
      <w:pPr>
        <w:pStyle w:val="Default"/>
        <w:spacing w:line="276" w:lineRule="auto"/>
        <w:jc w:val="both"/>
        <w:rPr>
          <w:color w:val="auto"/>
          <w:sz w:val="22"/>
          <w:szCs w:val="22"/>
        </w:rPr>
      </w:pPr>
      <w:r w:rsidRPr="001B4AF1">
        <w:rPr>
          <w:color w:val="auto"/>
          <w:sz w:val="22"/>
          <w:szCs w:val="22"/>
        </w:rPr>
        <w:tab/>
      </w:r>
      <w:r w:rsidR="00AF5616" w:rsidRPr="001B4AF1">
        <w:rPr>
          <w:color w:val="auto"/>
          <w:sz w:val="22"/>
          <w:szCs w:val="22"/>
        </w:rPr>
        <w:t xml:space="preserve">У свом анкетном упитнику послодаваци су замољени да искрено вреднују поједине стручне компетенције диломираних инжињера, који раде у њиховој институцији: способност да решавају практичне проблеме, способност доношења одлука, праћење технолошких иновација и стручне регулативе, способност аналитичког и критичког размишљања, способност учествовања у стручним дискусијама, мотивисаност за стицање нових стручних знања и вештина, развијеност радних навика, обученост за рад на савременим инжињерским софтверима, способност за тимски рад и поштовање професионалне етике. Послодавцима је такође понуђено да преложе мере у циљу унапређења образовања дипломираних инжењера на Факултету. </w:t>
      </w:r>
    </w:p>
    <w:p w:rsidR="002D7461" w:rsidRPr="001B4AF1" w:rsidRDefault="002D7461" w:rsidP="001B4AF1">
      <w:pPr>
        <w:pStyle w:val="Default"/>
        <w:spacing w:line="276" w:lineRule="auto"/>
        <w:jc w:val="both"/>
        <w:rPr>
          <w:color w:val="auto"/>
          <w:sz w:val="22"/>
          <w:szCs w:val="22"/>
        </w:rPr>
      </w:pPr>
    </w:p>
    <w:p w:rsidR="00AF5616" w:rsidRPr="001B4AF1" w:rsidRDefault="00AF5616" w:rsidP="001B4AF1">
      <w:pPr>
        <w:pStyle w:val="Default"/>
        <w:spacing w:before="120" w:line="276" w:lineRule="auto"/>
        <w:jc w:val="both"/>
        <w:rPr>
          <w:color w:val="auto"/>
          <w:sz w:val="22"/>
          <w:szCs w:val="22"/>
        </w:rPr>
      </w:pPr>
      <w:r w:rsidRPr="001B4AF1">
        <w:rPr>
          <w:b/>
          <w:bCs/>
          <w:color w:val="auto"/>
          <w:sz w:val="22"/>
          <w:szCs w:val="22"/>
        </w:rPr>
        <w:t xml:space="preserve">3. Резултати анкете </w:t>
      </w:r>
    </w:p>
    <w:p w:rsidR="00AF5616" w:rsidRPr="001B4AF1" w:rsidRDefault="00F71E9E" w:rsidP="001B4AF1">
      <w:pPr>
        <w:pStyle w:val="Default"/>
        <w:spacing w:before="120" w:line="276" w:lineRule="auto"/>
        <w:jc w:val="both"/>
        <w:rPr>
          <w:color w:val="auto"/>
          <w:sz w:val="22"/>
          <w:szCs w:val="22"/>
        </w:rPr>
      </w:pPr>
      <w:r w:rsidRPr="001B4AF1">
        <w:rPr>
          <w:color w:val="auto"/>
          <w:sz w:val="22"/>
          <w:szCs w:val="22"/>
        </w:rPr>
        <w:tab/>
      </w:r>
      <w:r w:rsidR="00AF5616" w:rsidRPr="001B4AF1">
        <w:rPr>
          <w:color w:val="auto"/>
          <w:sz w:val="22"/>
          <w:szCs w:val="22"/>
        </w:rPr>
        <w:t>Стручне компетенције некадашњих студената Грађевинско-архитектонског факултета у Нишу послодавци су вредновали укупном просечном оценом 3.</w:t>
      </w:r>
      <w:r w:rsidR="00BF787F" w:rsidRPr="001B4AF1">
        <w:rPr>
          <w:color w:val="auto"/>
          <w:sz w:val="22"/>
          <w:szCs w:val="22"/>
        </w:rPr>
        <w:t>4</w:t>
      </w:r>
      <w:r w:rsidR="00AF5616" w:rsidRPr="001B4AF1">
        <w:rPr>
          <w:color w:val="auto"/>
          <w:sz w:val="22"/>
          <w:szCs w:val="22"/>
        </w:rPr>
        <w:t xml:space="preserve">0, на петостепеној лествици оцењивања од 1 до 5. </w:t>
      </w:r>
      <w:r w:rsidR="00DE3BA1" w:rsidRPr="001B4AF1">
        <w:rPr>
          <w:color w:val="auto"/>
          <w:sz w:val="22"/>
          <w:szCs w:val="22"/>
        </w:rPr>
        <w:t xml:space="preserve">Оцене су дефинисане на следећи начин: 1- потпуно незадовољавајући; 2 – делимично задовољавајући; 3 – задовољавајући; 4 – претежно задовољавајући; 5 – потпуно задовољавајући. </w:t>
      </w:r>
      <w:r w:rsidR="00AF5616" w:rsidRPr="001B4AF1">
        <w:rPr>
          <w:color w:val="auto"/>
          <w:sz w:val="22"/>
          <w:szCs w:val="22"/>
        </w:rPr>
        <w:t xml:space="preserve">Висина просечне оцене упућује на закључак да наставни програм и образовни процес на Факултету у значајној мери остварују планиране исходе, тј. да студенти који дипломирају на </w:t>
      </w:r>
      <w:r w:rsidR="009527ED" w:rsidRPr="001B4AF1">
        <w:rPr>
          <w:color w:val="auto"/>
          <w:sz w:val="22"/>
          <w:szCs w:val="22"/>
        </w:rPr>
        <w:t>Факултету стичу задовољавајући ниво стручних компетенција али да има и доста простора за унапређење њихових квалитета.</w:t>
      </w:r>
    </w:p>
    <w:p w:rsidR="009527ED" w:rsidRPr="001B4AF1" w:rsidRDefault="009527ED" w:rsidP="001B4AF1">
      <w:pPr>
        <w:pStyle w:val="Default"/>
        <w:spacing w:line="276" w:lineRule="auto"/>
        <w:jc w:val="both"/>
        <w:rPr>
          <w:color w:val="auto"/>
          <w:sz w:val="22"/>
          <w:szCs w:val="22"/>
        </w:rPr>
      </w:pPr>
    </w:p>
    <w:p w:rsidR="006B04FD" w:rsidRPr="001B4AF1" w:rsidRDefault="00F71E9E" w:rsidP="001B4AF1">
      <w:pPr>
        <w:pStyle w:val="Default"/>
        <w:spacing w:line="276" w:lineRule="auto"/>
        <w:jc w:val="both"/>
        <w:rPr>
          <w:color w:val="auto"/>
          <w:sz w:val="22"/>
          <w:szCs w:val="22"/>
        </w:rPr>
      </w:pPr>
      <w:r w:rsidRPr="001B4AF1">
        <w:rPr>
          <w:color w:val="auto"/>
          <w:sz w:val="22"/>
          <w:szCs w:val="22"/>
        </w:rPr>
        <w:tab/>
      </w:r>
      <w:r w:rsidR="009527ED" w:rsidRPr="001B4AF1">
        <w:rPr>
          <w:color w:val="auto"/>
          <w:sz w:val="22"/>
          <w:szCs w:val="22"/>
        </w:rPr>
        <w:t xml:space="preserve">Просечне оцене за оцењиване стручне компетенције приказане су у следећој табели: </w:t>
      </w:r>
    </w:p>
    <w:p w:rsidR="00BA5F69" w:rsidRPr="001B4AF1" w:rsidRDefault="006B04FD" w:rsidP="001B4AF1">
      <w:pPr>
        <w:pStyle w:val="Default"/>
        <w:spacing w:before="720" w:after="120" w:line="276" w:lineRule="auto"/>
        <w:jc w:val="both"/>
        <w:rPr>
          <w:b/>
          <w:bCs/>
          <w:color w:val="auto"/>
          <w:sz w:val="22"/>
          <w:szCs w:val="22"/>
        </w:rPr>
      </w:pPr>
      <w:r w:rsidRPr="001B4AF1">
        <w:rPr>
          <w:b/>
          <w:bCs/>
          <w:color w:val="auto"/>
          <w:sz w:val="22"/>
          <w:szCs w:val="22"/>
        </w:rPr>
        <w:tab/>
        <w:t xml:space="preserve">Табела. </w:t>
      </w:r>
      <w:r w:rsidRPr="001B4AF1">
        <w:rPr>
          <w:b/>
          <w:bCs/>
          <w:i/>
          <w:color w:val="auto"/>
          <w:sz w:val="22"/>
          <w:szCs w:val="22"/>
        </w:rPr>
        <w:t>Стручне компетенције</w:t>
      </w:r>
    </w:p>
    <w:tbl>
      <w:tblPr>
        <w:tblStyle w:val="TableGrid"/>
        <w:tblW w:w="0" w:type="auto"/>
        <w:tblInd w:w="558" w:type="dxa"/>
        <w:tblLook w:val="04A0"/>
      </w:tblPr>
      <w:tblGrid>
        <w:gridCol w:w="540"/>
        <w:gridCol w:w="3780"/>
        <w:gridCol w:w="1620"/>
      </w:tblGrid>
      <w:tr w:rsidR="00F356FF" w:rsidRPr="001B4AF1" w:rsidTr="00F356FF">
        <w:trPr>
          <w:trHeight w:val="317"/>
        </w:trPr>
        <w:tc>
          <w:tcPr>
            <w:tcW w:w="540" w:type="dxa"/>
            <w:vMerge w:val="restart"/>
          </w:tcPr>
          <w:p w:rsidR="00F356FF" w:rsidRPr="001B4AF1" w:rsidRDefault="00F356FF" w:rsidP="001B4AF1">
            <w:pPr>
              <w:pStyle w:val="Default"/>
              <w:spacing w:line="276" w:lineRule="auto"/>
              <w:jc w:val="both"/>
              <w:rPr>
                <w:b/>
                <w:bCs/>
                <w:color w:val="auto"/>
              </w:rPr>
            </w:pPr>
          </w:p>
        </w:tc>
        <w:tc>
          <w:tcPr>
            <w:tcW w:w="3780" w:type="dxa"/>
            <w:vMerge w:val="restart"/>
          </w:tcPr>
          <w:p w:rsidR="00F356FF" w:rsidRPr="001B4AF1" w:rsidRDefault="00F356FF" w:rsidP="001B4AF1">
            <w:pPr>
              <w:pStyle w:val="Default"/>
              <w:spacing w:line="276" w:lineRule="auto"/>
              <w:jc w:val="both"/>
              <w:rPr>
                <w:b/>
                <w:color w:val="auto"/>
              </w:rPr>
            </w:pPr>
            <w:r w:rsidRPr="001B4AF1">
              <w:rPr>
                <w:b/>
                <w:color w:val="auto"/>
              </w:rPr>
              <w:t>Питања</w:t>
            </w:r>
          </w:p>
        </w:tc>
        <w:tc>
          <w:tcPr>
            <w:tcW w:w="1620" w:type="dxa"/>
            <w:tcBorders>
              <w:top w:val="single" w:sz="4" w:space="0" w:color="auto"/>
              <w:bottom w:val="single" w:sz="4" w:space="0" w:color="auto"/>
              <w:right w:val="single" w:sz="4" w:space="0" w:color="auto"/>
            </w:tcBorders>
            <w:shd w:val="clear" w:color="auto" w:fill="auto"/>
          </w:tcPr>
          <w:p w:rsidR="00F356FF" w:rsidRPr="001B4AF1" w:rsidRDefault="00F356FF" w:rsidP="001B4AF1">
            <w:pPr>
              <w:spacing w:before="60" w:line="276" w:lineRule="auto"/>
              <w:rPr>
                <w:rFonts w:ascii="Times New Roman" w:hAnsi="Times New Roman" w:cs="Times New Roman"/>
              </w:rPr>
            </w:pPr>
            <w:r w:rsidRPr="001B4AF1">
              <w:rPr>
                <w:rFonts w:ascii="Times New Roman" w:hAnsi="Times New Roman" w:cs="Times New Roman"/>
                <w:sz w:val="20"/>
              </w:rPr>
              <w:t>Просечна оцена</w:t>
            </w:r>
          </w:p>
        </w:tc>
      </w:tr>
      <w:tr w:rsidR="00F356FF" w:rsidRPr="001B4AF1" w:rsidTr="00F356FF">
        <w:trPr>
          <w:trHeight w:val="156"/>
        </w:trPr>
        <w:tc>
          <w:tcPr>
            <w:tcW w:w="540" w:type="dxa"/>
            <w:vMerge/>
          </w:tcPr>
          <w:p w:rsidR="00F356FF" w:rsidRPr="001B4AF1" w:rsidRDefault="00F356FF" w:rsidP="001B4AF1">
            <w:pPr>
              <w:pStyle w:val="Default"/>
              <w:spacing w:line="276" w:lineRule="auto"/>
              <w:jc w:val="both"/>
              <w:rPr>
                <w:b/>
                <w:bCs/>
                <w:color w:val="auto"/>
              </w:rPr>
            </w:pPr>
          </w:p>
        </w:tc>
        <w:tc>
          <w:tcPr>
            <w:tcW w:w="3780" w:type="dxa"/>
            <w:vMerge/>
          </w:tcPr>
          <w:p w:rsidR="00F356FF" w:rsidRPr="001B4AF1" w:rsidRDefault="00F356FF" w:rsidP="001B4AF1">
            <w:pPr>
              <w:pStyle w:val="Default"/>
              <w:spacing w:line="276" w:lineRule="auto"/>
              <w:jc w:val="both"/>
              <w:rPr>
                <w:b/>
                <w:color w:val="auto"/>
              </w:rPr>
            </w:pPr>
          </w:p>
        </w:tc>
        <w:tc>
          <w:tcPr>
            <w:tcW w:w="1620" w:type="dxa"/>
          </w:tcPr>
          <w:p w:rsidR="00F356FF" w:rsidRPr="001B4AF1" w:rsidRDefault="00F356FF" w:rsidP="001B4AF1">
            <w:pPr>
              <w:pStyle w:val="Default"/>
              <w:spacing w:line="276" w:lineRule="auto"/>
              <w:jc w:val="both"/>
              <w:rPr>
                <w:bCs/>
                <w:color w:val="auto"/>
                <w:sz w:val="22"/>
              </w:rPr>
            </w:pPr>
            <w:r w:rsidRPr="001B4AF1">
              <w:rPr>
                <w:bCs/>
                <w:color w:val="auto"/>
                <w:sz w:val="22"/>
              </w:rPr>
              <w:t>Архитектура</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1.</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Способност да решавају практичне проблеме</w:t>
            </w:r>
          </w:p>
        </w:tc>
        <w:tc>
          <w:tcPr>
            <w:tcW w:w="1620" w:type="dxa"/>
          </w:tcPr>
          <w:p w:rsidR="00F356FF" w:rsidRPr="001B4AF1" w:rsidRDefault="00F356FF" w:rsidP="001B4AF1">
            <w:pPr>
              <w:spacing w:line="276" w:lineRule="auto"/>
              <w:jc w:val="center"/>
            </w:pPr>
            <w:r w:rsidRPr="001B4AF1">
              <w:t>2.6</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2.</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Способност доношења одлука</w:t>
            </w:r>
          </w:p>
        </w:tc>
        <w:tc>
          <w:tcPr>
            <w:tcW w:w="1620" w:type="dxa"/>
          </w:tcPr>
          <w:p w:rsidR="00F356FF" w:rsidRPr="001B4AF1" w:rsidRDefault="00F356FF" w:rsidP="001B4AF1">
            <w:pPr>
              <w:spacing w:line="276" w:lineRule="auto"/>
              <w:jc w:val="center"/>
            </w:pPr>
            <w:r w:rsidRPr="001B4AF1">
              <w:t>2.3</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3.</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Праћење технолошких иновација и стручне регулативе</w:t>
            </w:r>
          </w:p>
        </w:tc>
        <w:tc>
          <w:tcPr>
            <w:tcW w:w="1620" w:type="dxa"/>
          </w:tcPr>
          <w:p w:rsidR="00F356FF" w:rsidRPr="001B4AF1" w:rsidRDefault="00F356FF" w:rsidP="001B4AF1">
            <w:pPr>
              <w:spacing w:line="276" w:lineRule="auto"/>
              <w:jc w:val="center"/>
            </w:pPr>
            <w:r w:rsidRPr="001B4AF1">
              <w:t>3.7</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4.</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Способност аналитичког и критичког размишљања</w:t>
            </w:r>
          </w:p>
        </w:tc>
        <w:tc>
          <w:tcPr>
            <w:tcW w:w="1620" w:type="dxa"/>
          </w:tcPr>
          <w:p w:rsidR="00F356FF" w:rsidRPr="001B4AF1" w:rsidRDefault="00F356FF" w:rsidP="001B4AF1">
            <w:pPr>
              <w:spacing w:line="276" w:lineRule="auto"/>
              <w:jc w:val="center"/>
            </w:pPr>
            <w:r w:rsidRPr="001B4AF1">
              <w:t>3.4</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5.</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Способност учествовања у стручним дискусијама</w:t>
            </w:r>
          </w:p>
        </w:tc>
        <w:tc>
          <w:tcPr>
            <w:tcW w:w="1620" w:type="dxa"/>
          </w:tcPr>
          <w:p w:rsidR="00F356FF" w:rsidRPr="001B4AF1" w:rsidRDefault="00F356FF" w:rsidP="001B4AF1">
            <w:pPr>
              <w:spacing w:line="276" w:lineRule="auto"/>
              <w:jc w:val="center"/>
            </w:pPr>
            <w:r w:rsidRPr="001B4AF1">
              <w:t>3.6</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6.</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Мотивисаност за стицање нових стручних знања и вештина</w:t>
            </w:r>
          </w:p>
        </w:tc>
        <w:tc>
          <w:tcPr>
            <w:tcW w:w="1620" w:type="dxa"/>
          </w:tcPr>
          <w:p w:rsidR="00F356FF" w:rsidRPr="001B4AF1" w:rsidRDefault="00F356FF" w:rsidP="001B4AF1">
            <w:pPr>
              <w:spacing w:line="276" w:lineRule="auto"/>
              <w:jc w:val="center"/>
            </w:pPr>
            <w:r w:rsidRPr="001B4AF1">
              <w:t>4</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7.</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Развијеност радних навика</w:t>
            </w:r>
          </w:p>
        </w:tc>
        <w:tc>
          <w:tcPr>
            <w:tcW w:w="1620" w:type="dxa"/>
          </w:tcPr>
          <w:p w:rsidR="00F356FF" w:rsidRPr="001B4AF1" w:rsidRDefault="00F356FF" w:rsidP="001B4AF1">
            <w:pPr>
              <w:spacing w:line="276" w:lineRule="auto"/>
              <w:jc w:val="center"/>
            </w:pPr>
            <w:r w:rsidRPr="001B4AF1">
              <w:t>3.3</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8.</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Обученост за рад на савременим инжењерским софтверима</w:t>
            </w:r>
          </w:p>
        </w:tc>
        <w:tc>
          <w:tcPr>
            <w:tcW w:w="1620" w:type="dxa"/>
          </w:tcPr>
          <w:p w:rsidR="00F356FF" w:rsidRPr="001B4AF1" w:rsidRDefault="00F356FF" w:rsidP="001B4AF1">
            <w:pPr>
              <w:spacing w:line="276" w:lineRule="auto"/>
              <w:jc w:val="center"/>
            </w:pPr>
            <w:r w:rsidRPr="001B4AF1">
              <w:t>3.8</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9.</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Способност за тимски рад</w:t>
            </w:r>
          </w:p>
        </w:tc>
        <w:tc>
          <w:tcPr>
            <w:tcW w:w="1620" w:type="dxa"/>
          </w:tcPr>
          <w:p w:rsidR="00F356FF" w:rsidRPr="001B4AF1" w:rsidRDefault="00F356FF" w:rsidP="001B4AF1">
            <w:pPr>
              <w:spacing w:line="276" w:lineRule="auto"/>
              <w:jc w:val="center"/>
            </w:pPr>
            <w:r w:rsidRPr="001B4AF1">
              <w:t>3.8</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10.</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Поштовање професионалне етике</w:t>
            </w:r>
          </w:p>
        </w:tc>
        <w:tc>
          <w:tcPr>
            <w:tcW w:w="1620" w:type="dxa"/>
          </w:tcPr>
          <w:p w:rsidR="00F356FF" w:rsidRPr="001B4AF1" w:rsidRDefault="00F356FF" w:rsidP="001B4AF1">
            <w:pPr>
              <w:spacing w:line="276" w:lineRule="auto"/>
              <w:jc w:val="center"/>
            </w:pPr>
            <w:r w:rsidRPr="001B4AF1">
              <w:t>3.9</w:t>
            </w:r>
          </w:p>
        </w:tc>
      </w:tr>
      <w:tr w:rsidR="00F356FF" w:rsidRPr="001B4AF1" w:rsidTr="00F356FF">
        <w:tc>
          <w:tcPr>
            <w:tcW w:w="540" w:type="dxa"/>
          </w:tcPr>
          <w:p w:rsidR="00F356FF" w:rsidRPr="001B4AF1" w:rsidRDefault="00F356FF" w:rsidP="001B4AF1">
            <w:pPr>
              <w:pStyle w:val="Default"/>
              <w:spacing w:line="276" w:lineRule="auto"/>
              <w:jc w:val="both"/>
              <w:rPr>
                <w:b/>
                <w:bCs/>
                <w:color w:val="auto"/>
                <w:sz w:val="22"/>
                <w:szCs w:val="22"/>
              </w:rPr>
            </w:pPr>
            <w:r w:rsidRPr="001B4AF1">
              <w:rPr>
                <w:b/>
                <w:bCs/>
                <w:color w:val="auto"/>
                <w:sz w:val="22"/>
                <w:szCs w:val="22"/>
              </w:rPr>
              <w:t>11.</w:t>
            </w:r>
          </w:p>
        </w:tc>
        <w:tc>
          <w:tcPr>
            <w:tcW w:w="3780" w:type="dxa"/>
          </w:tcPr>
          <w:p w:rsidR="00F356FF" w:rsidRPr="001B4AF1" w:rsidRDefault="00F356FF" w:rsidP="001B4AF1">
            <w:pPr>
              <w:pStyle w:val="Default"/>
              <w:spacing w:line="276" w:lineRule="auto"/>
              <w:jc w:val="both"/>
              <w:rPr>
                <w:color w:val="auto"/>
                <w:sz w:val="22"/>
                <w:szCs w:val="22"/>
              </w:rPr>
            </w:pPr>
            <w:r w:rsidRPr="001B4AF1">
              <w:rPr>
                <w:color w:val="auto"/>
                <w:sz w:val="22"/>
                <w:szCs w:val="22"/>
              </w:rPr>
              <w:t>Способност извршавања обавеза у траженом року</w:t>
            </w:r>
          </w:p>
        </w:tc>
        <w:tc>
          <w:tcPr>
            <w:tcW w:w="1620" w:type="dxa"/>
          </w:tcPr>
          <w:p w:rsidR="00F356FF" w:rsidRPr="001B4AF1" w:rsidRDefault="00F356FF" w:rsidP="001B4AF1">
            <w:pPr>
              <w:spacing w:line="276" w:lineRule="auto"/>
              <w:jc w:val="center"/>
            </w:pPr>
            <w:r w:rsidRPr="001B4AF1">
              <w:t>2.7</w:t>
            </w:r>
          </w:p>
        </w:tc>
      </w:tr>
      <w:tr w:rsidR="00F356FF" w:rsidRPr="001B4AF1" w:rsidTr="00F356FF">
        <w:tc>
          <w:tcPr>
            <w:tcW w:w="4320" w:type="dxa"/>
            <w:gridSpan w:val="2"/>
          </w:tcPr>
          <w:p w:rsidR="00F356FF" w:rsidRPr="001B4AF1" w:rsidRDefault="00F356FF" w:rsidP="001B4AF1">
            <w:pPr>
              <w:pStyle w:val="Default"/>
              <w:spacing w:before="60" w:after="60" w:line="276" w:lineRule="auto"/>
              <w:jc w:val="both"/>
              <w:rPr>
                <w:color w:val="auto"/>
                <w:sz w:val="22"/>
                <w:szCs w:val="22"/>
              </w:rPr>
            </w:pPr>
            <w:r w:rsidRPr="001B4AF1">
              <w:rPr>
                <w:color w:val="auto"/>
                <w:sz w:val="22"/>
                <w:szCs w:val="22"/>
              </w:rPr>
              <w:t>Средња оцена</w:t>
            </w:r>
          </w:p>
        </w:tc>
        <w:tc>
          <w:tcPr>
            <w:tcW w:w="1620" w:type="dxa"/>
          </w:tcPr>
          <w:p w:rsidR="00F356FF" w:rsidRPr="001B4AF1" w:rsidRDefault="00F356FF" w:rsidP="001B4AF1">
            <w:pPr>
              <w:spacing w:line="276" w:lineRule="auto"/>
              <w:jc w:val="center"/>
            </w:pPr>
            <w:r w:rsidRPr="001B4AF1">
              <w:t>3.4</w:t>
            </w:r>
          </w:p>
        </w:tc>
      </w:tr>
    </w:tbl>
    <w:p w:rsidR="009527ED" w:rsidRPr="001B4AF1" w:rsidRDefault="009527ED" w:rsidP="001B4AF1">
      <w:pPr>
        <w:pStyle w:val="Default"/>
        <w:spacing w:line="276" w:lineRule="auto"/>
        <w:jc w:val="both"/>
        <w:rPr>
          <w:b/>
          <w:bCs/>
          <w:color w:val="auto"/>
          <w:sz w:val="22"/>
          <w:szCs w:val="22"/>
        </w:rPr>
      </w:pPr>
    </w:p>
    <w:p w:rsidR="00BA5F69" w:rsidRPr="001B4AF1" w:rsidRDefault="00BA5F69" w:rsidP="001B4AF1">
      <w:pPr>
        <w:pStyle w:val="Default"/>
        <w:spacing w:line="276" w:lineRule="auto"/>
        <w:jc w:val="both"/>
        <w:rPr>
          <w:b/>
          <w:bCs/>
          <w:color w:val="auto"/>
          <w:sz w:val="22"/>
          <w:szCs w:val="22"/>
        </w:rPr>
      </w:pPr>
    </w:p>
    <w:p w:rsidR="00BA5F69" w:rsidRPr="001B4AF1" w:rsidRDefault="00F71E9E" w:rsidP="001B4AF1">
      <w:pPr>
        <w:pStyle w:val="Default"/>
        <w:spacing w:after="120" w:line="276" w:lineRule="auto"/>
        <w:jc w:val="both"/>
        <w:rPr>
          <w:color w:val="auto"/>
          <w:sz w:val="22"/>
          <w:szCs w:val="22"/>
        </w:rPr>
      </w:pPr>
      <w:r w:rsidRPr="001B4AF1">
        <w:rPr>
          <w:color w:val="auto"/>
          <w:sz w:val="22"/>
          <w:szCs w:val="22"/>
        </w:rPr>
        <w:tab/>
        <w:t>Резултати анкете показују</w:t>
      </w:r>
      <w:r w:rsidR="00BA5F69" w:rsidRPr="001B4AF1">
        <w:rPr>
          <w:color w:val="auto"/>
          <w:sz w:val="22"/>
          <w:szCs w:val="22"/>
        </w:rPr>
        <w:t xml:space="preserve"> да су најбоље оцењени способност за тимски рад (</w:t>
      </w:r>
      <w:r w:rsidR="006B04FD" w:rsidRPr="001B4AF1">
        <w:rPr>
          <w:color w:val="auto"/>
          <w:sz w:val="22"/>
          <w:szCs w:val="22"/>
        </w:rPr>
        <w:t>3.</w:t>
      </w:r>
      <w:r w:rsidR="00F356FF" w:rsidRPr="001B4AF1">
        <w:rPr>
          <w:color w:val="auto"/>
          <w:sz w:val="22"/>
          <w:szCs w:val="22"/>
        </w:rPr>
        <w:t>8</w:t>
      </w:r>
      <w:r w:rsidR="00BA5F69" w:rsidRPr="001B4AF1">
        <w:rPr>
          <w:color w:val="auto"/>
          <w:sz w:val="22"/>
          <w:szCs w:val="22"/>
        </w:rPr>
        <w:t>), способност и спремност за стицање нових стручних знања и вештина (</w:t>
      </w:r>
      <w:r w:rsidR="006B04FD" w:rsidRPr="001B4AF1">
        <w:rPr>
          <w:color w:val="auto"/>
          <w:sz w:val="22"/>
          <w:szCs w:val="22"/>
        </w:rPr>
        <w:t>4</w:t>
      </w:r>
      <w:r w:rsidR="00BA5F69" w:rsidRPr="001B4AF1">
        <w:rPr>
          <w:color w:val="auto"/>
          <w:sz w:val="22"/>
          <w:szCs w:val="22"/>
        </w:rPr>
        <w:t>.00), поштовање професионалне етике (</w:t>
      </w:r>
      <w:r w:rsidR="00F356FF" w:rsidRPr="001B4AF1">
        <w:rPr>
          <w:color w:val="auto"/>
          <w:sz w:val="22"/>
          <w:szCs w:val="22"/>
        </w:rPr>
        <w:t>3.9</w:t>
      </w:r>
      <w:r w:rsidR="00BA5F69" w:rsidRPr="001B4AF1">
        <w:rPr>
          <w:color w:val="auto"/>
          <w:sz w:val="22"/>
          <w:szCs w:val="22"/>
        </w:rPr>
        <w:t>) и обученост за рад на савременим инжењерским софтверима (</w:t>
      </w:r>
      <w:r w:rsidR="006B04FD" w:rsidRPr="001B4AF1">
        <w:rPr>
          <w:color w:val="auto"/>
          <w:sz w:val="22"/>
          <w:szCs w:val="22"/>
        </w:rPr>
        <w:t>3.80</w:t>
      </w:r>
      <w:r w:rsidR="00BA5F69" w:rsidRPr="001B4AF1">
        <w:rPr>
          <w:color w:val="auto"/>
          <w:sz w:val="22"/>
          <w:szCs w:val="22"/>
        </w:rPr>
        <w:t xml:space="preserve">). Са друге стране, најлошије су оцењени способност да решавају практичне проблеме </w:t>
      </w:r>
      <w:r w:rsidR="006B04FD" w:rsidRPr="001B4AF1">
        <w:rPr>
          <w:color w:val="auto"/>
          <w:sz w:val="22"/>
          <w:szCs w:val="22"/>
        </w:rPr>
        <w:t>(2.6</w:t>
      </w:r>
      <w:r w:rsidR="00BA5F69" w:rsidRPr="001B4AF1">
        <w:rPr>
          <w:color w:val="auto"/>
          <w:sz w:val="22"/>
          <w:szCs w:val="22"/>
        </w:rPr>
        <w:t xml:space="preserve">) и способност доношења одлука </w:t>
      </w:r>
      <w:r w:rsidR="006B04FD" w:rsidRPr="001B4AF1">
        <w:rPr>
          <w:color w:val="auto"/>
          <w:sz w:val="22"/>
          <w:szCs w:val="22"/>
        </w:rPr>
        <w:t>(2.30</w:t>
      </w:r>
      <w:r w:rsidR="00BA5F69" w:rsidRPr="001B4AF1">
        <w:rPr>
          <w:color w:val="auto"/>
          <w:sz w:val="22"/>
          <w:szCs w:val="22"/>
        </w:rPr>
        <w:t xml:space="preserve">) што указује на велики простор за побољшање студијских програма пре свега у области повезивања практичног и теоријског рада као и оспособљавање будућих инжењера за самостални рад. </w:t>
      </w:r>
      <w:r w:rsidR="00F356FF" w:rsidRPr="001B4AF1">
        <w:rPr>
          <w:color w:val="auto"/>
          <w:sz w:val="22"/>
          <w:szCs w:val="22"/>
        </w:rPr>
        <w:t xml:space="preserve">Дипломирани инжењери </w:t>
      </w:r>
      <w:r w:rsidR="00DE3BA1" w:rsidRPr="001B4AF1">
        <w:rPr>
          <w:color w:val="auto"/>
          <w:sz w:val="22"/>
          <w:szCs w:val="22"/>
        </w:rPr>
        <w:t xml:space="preserve">архитектуре </w:t>
      </w:r>
      <w:r w:rsidR="00F356FF" w:rsidRPr="001B4AF1">
        <w:rPr>
          <w:color w:val="auto"/>
          <w:sz w:val="22"/>
          <w:szCs w:val="22"/>
        </w:rPr>
        <w:t xml:space="preserve">су </w:t>
      </w:r>
      <w:r w:rsidR="00C03585" w:rsidRPr="001B4AF1">
        <w:rPr>
          <w:color w:val="auto"/>
          <w:sz w:val="22"/>
          <w:szCs w:val="22"/>
        </w:rPr>
        <w:t xml:space="preserve">на крају оцењени </w:t>
      </w:r>
      <w:r w:rsidR="00F356FF" w:rsidRPr="001B4AF1">
        <w:rPr>
          <w:color w:val="auto"/>
          <w:sz w:val="22"/>
          <w:szCs w:val="22"/>
        </w:rPr>
        <w:t xml:space="preserve">средњом оценом 3.4. </w:t>
      </w:r>
    </w:p>
    <w:p w:rsidR="00BA5F69" w:rsidRPr="001B4AF1" w:rsidRDefault="00C62964" w:rsidP="001B4AF1">
      <w:pPr>
        <w:pStyle w:val="Default"/>
        <w:spacing w:after="120" w:line="276" w:lineRule="auto"/>
        <w:jc w:val="both"/>
        <w:rPr>
          <w:color w:val="auto"/>
          <w:sz w:val="22"/>
          <w:szCs w:val="22"/>
        </w:rPr>
      </w:pPr>
      <w:r w:rsidRPr="001B4AF1">
        <w:rPr>
          <w:color w:val="auto"/>
          <w:sz w:val="22"/>
          <w:szCs w:val="22"/>
        </w:rPr>
        <w:tab/>
      </w:r>
      <w:r w:rsidR="00BA5F69" w:rsidRPr="001B4AF1">
        <w:rPr>
          <w:color w:val="auto"/>
          <w:sz w:val="22"/>
          <w:szCs w:val="22"/>
        </w:rPr>
        <w:t xml:space="preserve">У циљу унапређења образовања дипломираних инжењера на ГАФ у Нишу послодавци су предложили следеће мере: </w:t>
      </w:r>
    </w:p>
    <w:p w:rsidR="00BA5F69" w:rsidRPr="001B4AF1" w:rsidRDefault="00BA5F69" w:rsidP="001B4AF1">
      <w:pPr>
        <w:pStyle w:val="Default"/>
        <w:spacing w:after="120" w:line="276" w:lineRule="auto"/>
        <w:jc w:val="both"/>
        <w:rPr>
          <w:color w:val="auto"/>
          <w:sz w:val="22"/>
          <w:szCs w:val="22"/>
        </w:rPr>
      </w:pPr>
      <w:r w:rsidRPr="001B4AF1">
        <w:rPr>
          <w:rFonts w:ascii="Courier New" w:hAnsi="Courier New" w:cs="Courier New"/>
          <w:color w:val="auto"/>
          <w:sz w:val="22"/>
          <w:szCs w:val="22"/>
        </w:rPr>
        <w:t xml:space="preserve">- </w:t>
      </w:r>
      <w:r w:rsidRPr="001B4AF1">
        <w:rPr>
          <w:color w:val="auto"/>
          <w:sz w:val="22"/>
          <w:szCs w:val="22"/>
        </w:rPr>
        <w:t>увести стручну праксу сваке године по један или више месеци годишње почевши од друге године студија</w:t>
      </w:r>
      <w:r w:rsidR="006B04FD" w:rsidRPr="001B4AF1">
        <w:rPr>
          <w:color w:val="auto"/>
          <w:sz w:val="22"/>
          <w:szCs w:val="22"/>
        </w:rPr>
        <w:t>,</w:t>
      </w:r>
    </w:p>
    <w:p w:rsidR="00BA5F69" w:rsidRPr="001B4AF1" w:rsidRDefault="00DA755E" w:rsidP="001B4AF1">
      <w:pPr>
        <w:pStyle w:val="Default"/>
        <w:spacing w:after="120" w:line="276" w:lineRule="auto"/>
        <w:jc w:val="both"/>
        <w:rPr>
          <w:color w:val="auto"/>
          <w:sz w:val="22"/>
          <w:szCs w:val="22"/>
        </w:rPr>
      </w:pPr>
      <w:r w:rsidRPr="001B4AF1">
        <w:rPr>
          <w:rFonts w:ascii="Courier New" w:hAnsi="Courier New" w:cs="Courier New"/>
          <w:color w:val="auto"/>
          <w:sz w:val="22"/>
          <w:szCs w:val="22"/>
        </w:rPr>
        <w:t xml:space="preserve">- </w:t>
      </w:r>
      <w:r w:rsidR="00257036" w:rsidRPr="001B4AF1">
        <w:rPr>
          <w:color w:val="auto"/>
          <w:sz w:val="22"/>
          <w:szCs w:val="22"/>
        </w:rPr>
        <w:t>унапредити способност учествовања у стручним дискусијама</w:t>
      </w:r>
      <w:r w:rsidR="006B04FD" w:rsidRPr="001B4AF1">
        <w:rPr>
          <w:color w:val="auto"/>
          <w:sz w:val="22"/>
          <w:szCs w:val="22"/>
        </w:rPr>
        <w:t>,</w:t>
      </w:r>
    </w:p>
    <w:p w:rsidR="00BA5F69" w:rsidRPr="001B4AF1" w:rsidRDefault="00BA5F69" w:rsidP="001B4AF1">
      <w:pPr>
        <w:pStyle w:val="Default"/>
        <w:spacing w:after="120" w:line="276" w:lineRule="auto"/>
        <w:jc w:val="both"/>
        <w:rPr>
          <w:color w:val="auto"/>
          <w:sz w:val="22"/>
          <w:szCs w:val="22"/>
        </w:rPr>
      </w:pPr>
      <w:r w:rsidRPr="001B4AF1">
        <w:rPr>
          <w:rFonts w:ascii="Courier New" w:hAnsi="Courier New" w:cs="Courier New"/>
          <w:color w:val="auto"/>
          <w:sz w:val="22"/>
          <w:szCs w:val="22"/>
        </w:rPr>
        <w:t xml:space="preserve">- </w:t>
      </w:r>
      <w:r w:rsidR="00CB4E48" w:rsidRPr="001B4AF1">
        <w:rPr>
          <w:color w:val="auto"/>
          <w:sz w:val="22"/>
          <w:szCs w:val="22"/>
        </w:rPr>
        <w:t xml:space="preserve">увести </w:t>
      </w:r>
      <w:r w:rsidR="00900CE5" w:rsidRPr="001B4AF1">
        <w:rPr>
          <w:color w:val="auto"/>
          <w:sz w:val="22"/>
          <w:szCs w:val="22"/>
        </w:rPr>
        <w:t xml:space="preserve">детаљније </w:t>
      </w:r>
      <w:r w:rsidR="00CB4E48" w:rsidRPr="001B4AF1">
        <w:rPr>
          <w:color w:val="auto"/>
          <w:sz w:val="22"/>
          <w:szCs w:val="22"/>
        </w:rPr>
        <w:t>изучавање</w:t>
      </w:r>
      <w:r w:rsidRPr="001B4AF1">
        <w:rPr>
          <w:color w:val="auto"/>
          <w:sz w:val="22"/>
          <w:szCs w:val="22"/>
        </w:rPr>
        <w:t xml:space="preserve"> Excel</w:t>
      </w:r>
      <w:r w:rsidR="00CB4E48" w:rsidRPr="001B4AF1">
        <w:rPr>
          <w:color w:val="auto"/>
          <w:sz w:val="22"/>
          <w:szCs w:val="22"/>
        </w:rPr>
        <w:t>,</w:t>
      </w:r>
    </w:p>
    <w:p w:rsidR="00BA5F69" w:rsidRPr="001B4AF1" w:rsidRDefault="00BA5F69" w:rsidP="001B4AF1">
      <w:pPr>
        <w:pStyle w:val="Default"/>
        <w:spacing w:after="120" w:line="276" w:lineRule="auto"/>
        <w:jc w:val="both"/>
        <w:rPr>
          <w:color w:val="auto"/>
          <w:sz w:val="22"/>
          <w:szCs w:val="22"/>
        </w:rPr>
      </w:pPr>
      <w:r w:rsidRPr="001B4AF1">
        <w:rPr>
          <w:rFonts w:ascii="Courier New" w:hAnsi="Courier New" w:cs="Courier New"/>
          <w:color w:val="auto"/>
          <w:sz w:val="22"/>
          <w:szCs w:val="22"/>
        </w:rPr>
        <w:t xml:space="preserve">- </w:t>
      </w:r>
      <w:r w:rsidRPr="001B4AF1">
        <w:rPr>
          <w:color w:val="auto"/>
          <w:sz w:val="22"/>
          <w:szCs w:val="22"/>
        </w:rPr>
        <w:t>поклонити више пажње унапређењу аналити</w:t>
      </w:r>
      <w:r w:rsidR="006B04FD" w:rsidRPr="001B4AF1">
        <w:rPr>
          <w:color w:val="auto"/>
          <w:sz w:val="22"/>
          <w:szCs w:val="22"/>
        </w:rPr>
        <w:t>чког</w:t>
      </w:r>
      <w:r w:rsidR="00E7041A" w:rsidRPr="001B4AF1">
        <w:rPr>
          <w:color w:val="auto"/>
          <w:sz w:val="22"/>
          <w:szCs w:val="22"/>
        </w:rPr>
        <w:t xml:space="preserve"> и критичког размишљања, као и </w:t>
      </w:r>
      <w:r w:rsidR="006B04FD" w:rsidRPr="001B4AF1">
        <w:rPr>
          <w:color w:val="auto"/>
          <w:sz w:val="22"/>
          <w:szCs w:val="22"/>
        </w:rPr>
        <w:t xml:space="preserve">унапређењу </w:t>
      </w:r>
      <w:r w:rsidRPr="001B4AF1">
        <w:rPr>
          <w:color w:val="auto"/>
          <w:sz w:val="22"/>
          <w:szCs w:val="22"/>
        </w:rPr>
        <w:t>способности самосталног решавања проблема и доношењу одлука</w:t>
      </w:r>
      <w:r w:rsidR="006B04FD" w:rsidRPr="001B4AF1">
        <w:rPr>
          <w:color w:val="auto"/>
          <w:sz w:val="22"/>
          <w:szCs w:val="22"/>
        </w:rPr>
        <w:t>,</w:t>
      </w:r>
    </w:p>
    <w:p w:rsidR="00BA5F69" w:rsidRPr="001B4AF1" w:rsidRDefault="00BA5F69" w:rsidP="001B4AF1">
      <w:pPr>
        <w:pStyle w:val="Default"/>
        <w:spacing w:after="120" w:line="276" w:lineRule="auto"/>
        <w:jc w:val="both"/>
        <w:rPr>
          <w:color w:val="auto"/>
          <w:sz w:val="22"/>
          <w:szCs w:val="22"/>
        </w:rPr>
      </w:pPr>
      <w:r w:rsidRPr="001B4AF1">
        <w:rPr>
          <w:rFonts w:ascii="Courier New" w:hAnsi="Courier New" w:cs="Courier New"/>
          <w:color w:val="auto"/>
          <w:sz w:val="22"/>
          <w:szCs w:val="22"/>
        </w:rPr>
        <w:t xml:space="preserve">- </w:t>
      </w:r>
      <w:r w:rsidRPr="001B4AF1">
        <w:rPr>
          <w:color w:val="auto"/>
          <w:sz w:val="22"/>
          <w:szCs w:val="22"/>
        </w:rPr>
        <w:t xml:space="preserve">радити на развијању инжењерске логике и осећаја за ред величина у свим областима грађевинарства </w:t>
      </w:r>
    </w:p>
    <w:p w:rsidR="00BA5F69" w:rsidRPr="001B4AF1" w:rsidRDefault="00BA5F69" w:rsidP="001B4AF1">
      <w:pPr>
        <w:pStyle w:val="Default"/>
        <w:spacing w:after="120" w:line="276" w:lineRule="auto"/>
        <w:jc w:val="both"/>
        <w:rPr>
          <w:color w:val="auto"/>
          <w:sz w:val="22"/>
          <w:szCs w:val="22"/>
        </w:rPr>
      </w:pPr>
      <w:r w:rsidRPr="001B4AF1">
        <w:rPr>
          <w:rFonts w:ascii="Courier New" w:hAnsi="Courier New" w:cs="Courier New"/>
          <w:color w:val="auto"/>
          <w:sz w:val="22"/>
          <w:szCs w:val="22"/>
        </w:rPr>
        <w:t xml:space="preserve">- </w:t>
      </w:r>
      <w:r w:rsidRPr="001B4AF1">
        <w:rPr>
          <w:color w:val="auto"/>
          <w:sz w:val="22"/>
          <w:szCs w:val="22"/>
        </w:rPr>
        <w:t>више радити на детаљима конструкција и разради извођачке документације</w:t>
      </w:r>
      <w:r w:rsidR="00CB4E48" w:rsidRPr="001B4AF1">
        <w:rPr>
          <w:color w:val="auto"/>
          <w:sz w:val="22"/>
          <w:szCs w:val="22"/>
        </w:rPr>
        <w:t>.</w:t>
      </w:r>
    </w:p>
    <w:p w:rsidR="00BA5F69" w:rsidRPr="001B4AF1" w:rsidRDefault="00BA5F69" w:rsidP="001B4AF1">
      <w:pPr>
        <w:pStyle w:val="Default"/>
        <w:spacing w:line="276" w:lineRule="auto"/>
        <w:jc w:val="both"/>
        <w:rPr>
          <w:b/>
          <w:bCs/>
          <w:color w:val="auto"/>
          <w:sz w:val="22"/>
          <w:szCs w:val="22"/>
        </w:rPr>
      </w:pPr>
    </w:p>
    <w:p w:rsidR="00BA5F69" w:rsidRPr="001B4AF1" w:rsidRDefault="00BD6BA1" w:rsidP="001B4AF1">
      <w:pPr>
        <w:pStyle w:val="Default"/>
        <w:spacing w:line="276" w:lineRule="auto"/>
        <w:jc w:val="both"/>
        <w:rPr>
          <w:b/>
          <w:bCs/>
          <w:color w:val="auto"/>
          <w:sz w:val="20"/>
          <w:szCs w:val="22"/>
        </w:rPr>
      </w:pPr>
      <w:r w:rsidRPr="001B4AF1">
        <w:rPr>
          <w:color w:val="auto"/>
        </w:rPr>
        <w:lastRenderedPageBreak/>
        <w:tab/>
      </w:r>
      <w:r w:rsidR="00940EB2" w:rsidRPr="001B4AF1">
        <w:rPr>
          <w:color w:val="auto"/>
          <w:sz w:val="22"/>
        </w:rPr>
        <w:t xml:space="preserve">Послодавцима је пружена могућност да процене степен спремности и способности за рад дипломираних инжењера архитектуре, </w:t>
      </w:r>
      <w:r w:rsidRPr="001B4AF1">
        <w:rPr>
          <w:color w:val="auto"/>
          <w:sz w:val="22"/>
        </w:rPr>
        <w:t>при чему су</w:t>
      </w:r>
      <w:r w:rsidR="00DE3BA1" w:rsidRPr="001B4AF1">
        <w:rPr>
          <w:color w:val="auto"/>
          <w:sz w:val="22"/>
        </w:rPr>
        <w:t>, као што је већ речено,</w:t>
      </w:r>
      <w:r w:rsidR="00940EB2" w:rsidRPr="001B4AF1">
        <w:rPr>
          <w:color w:val="auto"/>
          <w:sz w:val="22"/>
        </w:rPr>
        <w:t xml:space="preserve"> за ову процену </w:t>
      </w:r>
      <w:r w:rsidRPr="001B4AF1">
        <w:rPr>
          <w:color w:val="auto"/>
          <w:sz w:val="22"/>
        </w:rPr>
        <w:t>користили оцене од 1 до 5.</w:t>
      </w:r>
    </w:p>
    <w:p w:rsidR="00BA5F69" w:rsidRPr="001B4AF1" w:rsidRDefault="00BA5F69" w:rsidP="001B4AF1">
      <w:pPr>
        <w:pStyle w:val="Default"/>
        <w:spacing w:line="276" w:lineRule="auto"/>
        <w:jc w:val="both"/>
        <w:rPr>
          <w:b/>
          <w:bCs/>
          <w:color w:val="auto"/>
          <w:sz w:val="22"/>
          <w:szCs w:val="22"/>
        </w:rPr>
      </w:pPr>
    </w:p>
    <w:p w:rsidR="00BD6BA1" w:rsidRPr="001B4AF1" w:rsidRDefault="00940EB2" w:rsidP="001B4AF1">
      <w:pPr>
        <w:spacing w:after="0" w:line="276" w:lineRule="auto"/>
        <w:ind w:left="0" w:firstLine="0"/>
        <w:rPr>
          <w:rFonts w:ascii="Times New Roman" w:hAnsi="Times New Roman" w:cs="Times New Roman"/>
          <w:b/>
          <w:bCs/>
        </w:rPr>
      </w:pPr>
      <w:r w:rsidRPr="001B4AF1">
        <w:rPr>
          <w:rFonts w:ascii="Times New Roman" w:eastAsia="Times New Roman" w:hAnsi="Times New Roman" w:cs="Times New Roman"/>
          <w:b/>
        </w:rPr>
        <w:t>1.</w:t>
      </w:r>
      <w:r w:rsidR="00236D3E" w:rsidRPr="001B4AF1">
        <w:rPr>
          <w:rFonts w:ascii="Times New Roman" w:eastAsia="Times New Roman" w:hAnsi="Times New Roman" w:cs="Times New Roman"/>
          <w:b/>
        </w:rPr>
        <w:t xml:space="preserve"> </w:t>
      </w:r>
      <w:r w:rsidR="00BD6BA1" w:rsidRPr="001B4AF1">
        <w:rPr>
          <w:rFonts w:ascii="Times New Roman" w:hAnsi="Times New Roman" w:cs="Times New Roman"/>
          <w:b/>
        </w:rPr>
        <w:t>Способност да решавају практичне проблеме</w:t>
      </w:r>
    </w:p>
    <w:p w:rsidR="00BD6BA1" w:rsidRPr="001B4AF1" w:rsidRDefault="00BD6BA1" w:rsidP="001B4AF1">
      <w:pPr>
        <w:spacing w:before="120" w:after="240" w:line="276" w:lineRule="auto"/>
        <w:rPr>
          <w:rFonts w:ascii="Times New Roman" w:hAnsi="Times New Roman" w:cs="Times New Roman"/>
          <w:szCs w:val="24"/>
        </w:rPr>
      </w:pPr>
      <w:r w:rsidRPr="001B4AF1">
        <w:tab/>
      </w:r>
      <w:r w:rsidRPr="001B4AF1">
        <w:rPr>
          <w:rFonts w:ascii="Times New Roman" w:hAnsi="Times New Roman" w:cs="Times New Roman"/>
          <w:szCs w:val="24"/>
        </w:rPr>
        <w:t xml:space="preserve">Код овог питања се већина испитаника изјаснила да </w:t>
      </w:r>
      <w:r w:rsidR="00757E10" w:rsidRPr="001B4AF1">
        <w:rPr>
          <w:rFonts w:ascii="Times New Roman" w:hAnsi="Times New Roman" w:cs="Times New Roman"/>
          <w:szCs w:val="24"/>
        </w:rPr>
        <w:t xml:space="preserve">су делимично задовољни способношћу свршених студената да решавају практичне проблеме, док </w:t>
      </w:r>
      <w:r w:rsidR="00211FD8" w:rsidRPr="001B4AF1">
        <w:rPr>
          <w:rFonts w:ascii="Times New Roman" w:hAnsi="Times New Roman" w:cs="Times New Roman"/>
          <w:szCs w:val="24"/>
        </w:rPr>
        <w:t>је 1</w:t>
      </w:r>
      <w:r w:rsidR="007F2FDF" w:rsidRPr="001B4AF1">
        <w:rPr>
          <w:rFonts w:ascii="Times New Roman" w:hAnsi="Times New Roman" w:cs="Times New Roman"/>
          <w:szCs w:val="24"/>
        </w:rPr>
        <w:t>4</w:t>
      </w:r>
      <w:r w:rsidR="00211FD8" w:rsidRPr="001B4AF1">
        <w:rPr>
          <w:rFonts w:ascii="Times New Roman" w:hAnsi="Times New Roman" w:cs="Times New Roman"/>
          <w:szCs w:val="24"/>
        </w:rPr>
        <w:t>.29</w:t>
      </w:r>
      <w:r w:rsidR="00757E10" w:rsidRPr="001B4AF1">
        <w:rPr>
          <w:rFonts w:ascii="Times New Roman" w:hAnsi="Times New Roman" w:cs="Times New Roman"/>
          <w:szCs w:val="24"/>
        </w:rPr>
        <w:t xml:space="preserve">% </w:t>
      </w:r>
      <w:r w:rsidR="00211FD8" w:rsidRPr="001B4AF1">
        <w:rPr>
          <w:rFonts w:ascii="Times New Roman" w:hAnsi="Times New Roman" w:cs="Times New Roman"/>
          <w:szCs w:val="24"/>
        </w:rPr>
        <w:t>послодаваца потпуно задовољно.</w:t>
      </w:r>
      <w:r w:rsidR="005046EE" w:rsidRPr="001B4AF1">
        <w:rPr>
          <w:rFonts w:ascii="Times New Roman" w:hAnsi="Times New Roman" w:cs="Times New Roman"/>
          <w:szCs w:val="24"/>
        </w:rPr>
        <w:t xml:space="preserve"> </w:t>
      </w:r>
      <w:r w:rsidR="00E628AC" w:rsidRPr="001B4AF1">
        <w:rPr>
          <w:rFonts w:ascii="Times New Roman" w:hAnsi="Times New Roman" w:cs="Times New Roman"/>
          <w:szCs w:val="24"/>
        </w:rPr>
        <w:t xml:space="preserve">С обзиром да је 42.86% </w:t>
      </w:r>
      <w:r w:rsidR="007F2FDF" w:rsidRPr="001B4AF1">
        <w:rPr>
          <w:rFonts w:ascii="Times New Roman" w:hAnsi="Times New Roman" w:cs="Times New Roman"/>
          <w:szCs w:val="24"/>
        </w:rPr>
        <w:t>испитаника оценило оценом 2 способност да решавају практичне проблеме, то упућује на</w:t>
      </w:r>
      <w:r w:rsidR="00E628AC" w:rsidRPr="001B4AF1">
        <w:rPr>
          <w:rFonts w:ascii="Times New Roman" w:hAnsi="Times New Roman" w:cs="Times New Roman"/>
          <w:szCs w:val="24"/>
        </w:rPr>
        <w:t xml:space="preserve"> веће ангажовање </w:t>
      </w:r>
      <w:r w:rsidR="00F62B25" w:rsidRPr="001B4AF1">
        <w:rPr>
          <w:rFonts w:ascii="Times New Roman" w:hAnsi="Times New Roman" w:cs="Times New Roman"/>
          <w:szCs w:val="24"/>
        </w:rPr>
        <w:t>и бољу</w:t>
      </w:r>
      <w:r w:rsidR="007F2FDF" w:rsidRPr="001B4AF1">
        <w:rPr>
          <w:rFonts w:ascii="Times New Roman" w:hAnsi="Times New Roman" w:cs="Times New Roman"/>
          <w:szCs w:val="24"/>
        </w:rPr>
        <w:t xml:space="preserve"> посвећеност</w:t>
      </w:r>
      <w:r w:rsidR="00F62B25" w:rsidRPr="001B4AF1">
        <w:rPr>
          <w:rFonts w:ascii="Times New Roman" w:hAnsi="Times New Roman" w:cs="Times New Roman"/>
          <w:szCs w:val="24"/>
        </w:rPr>
        <w:t xml:space="preserve"> решавању</w:t>
      </w:r>
      <w:r w:rsidR="0000277C" w:rsidRPr="001B4AF1">
        <w:rPr>
          <w:rFonts w:ascii="Times New Roman" w:hAnsi="Times New Roman" w:cs="Times New Roman"/>
          <w:szCs w:val="24"/>
        </w:rPr>
        <w:t xml:space="preserve"> </w:t>
      </w:r>
      <w:r w:rsidR="00F62B25" w:rsidRPr="001B4AF1">
        <w:rPr>
          <w:rFonts w:ascii="Times New Roman" w:hAnsi="Times New Roman" w:cs="Times New Roman"/>
          <w:szCs w:val="24"/>
        </w:rPr>
        <w:t xml:space="preserve">практичних задатака.  </w:t>
      </w:r>
    </w:p>
    <w:p w:rsidR="009527ED" w:rsidRPr="001B4AF1" w:rsidRDefault="00BD6BA1" w:rsidP="001B4AF1">
      <w:pPr>
        <w:spacing w:line="276" w:lineRule="auto"/>
        <w:jc w:val="center"/>
      </w:pPr>
      <w:r w:rsidRPr="001B4AF1">
        <w:rPr>
          <w:noProof/>
        </w:rPr>
        <w:drawing>
          <wp:inline distT="0" distB="0" distL="0" distR="0">
            <wp:extent cx="3131820" cy="2026920"/>
            <wp:effectExtent l="0" t="0" r="1143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211FD8" w:rsidRPr="001B4AF1" w:rsidRDefault="00211FD8" w:rsidP="001B4AF1">
      <w:pPr>
        <w:spacing w:line="276" w:lineRule="auto"/>
        <w:jc w:val="center"/>
        <w:rPr>
          <w:rFonts w:ascii="Times New Roman" w:hAnsi="Times New Roman" w:cs="Times New Roman"/>
          <w:szCs w:val="24"/>
        </w:rPr>
      </w:pPr>
      <w:r w:rsidRPr="001B4AF1">
        <w:rPr>
          <w:rFonts w:ascii="Times New Roman" w:hAnsi="Times New Roman" w:cs="Times New Roman"/>
          <w:szCs w:val="24"/>
        </w:rPr>
        <w:t>Графикон 1. Способност да решавају практичне проблеме</w:t>
      </w:r>
    </w:p>
    <w:p w:rsidR="00211FD8" w:rsidRPr="001B4AF1" w:rsidRDefault="00211FD8" w:rsidP="001B4AF1">
      <w:pPr>
        <w:spacing w:line="276" w:lineRule="auto"/>
        <w:jc w:val="center"/>
        <w:rPr>
          <w:rFonts w:ascii="Times New Roman" w:hAnsi="Times New Roman" w:cs="Times New Roman"/>
          <w:b/>
          <w:szCs w:val="24"/>
        </w:rPr>
      </w:pPr>
    </w:p>
    <w:p w:rsidR="00211FD8" w:rsidRPr="001B4AF1" w:rsidRDefault="00211FD8" w:rsidP="001B4AF1">
      <w:pPr>
        <w:spacing w:line="276" w:lineRule="auto"/>
        <w:rPr>
          <w:rFonts w:ascii="Times New Roman" w:hAnsi="Times New Roman" w:cs="Times New Roman"/>
          <w:b/>
        </w:rPr>
      </w:pPr>
      <w:r w:rsidRPr="001B4AF1">
        <w:rPr>
          <w:rFonts w:ascii="Times New Roman" w:hAnsi="Times New Roman" w:cs="Times New Roman"/>
          <w:b/>
        </w:rPr>
        <w:t>2. Способност доношења одлука</w:t>
      </w:r>
    </w:p>
    <w:p w:rsidR="00211FD8" w:rsidRPr="001B4AF1" w:rsidRDefault="00E15149" w:rsidP="001B4AF1">
      <w:pPr>
        <w:spacing w:after="240" w:line="276" w:lineRule="auto"/>
        <w:rPr>
          <w:rFonts w:ascii="Times New Roman" w:hAnsi="Times New Roman" w:cs="Times New Roman"/>
          <w:szCs w:val="24"/>
        </w:rPr>
      </w:pPr>
      <w:r w:rsidRPr="001B4AF1">
        <w:rPr>
          <w:rFonts w:ascii="Times New Roman" w:hAnsi="Times New Roman" w:cs="Times New Roman"/>
          <w:b/>
        </w:rPr>
        <w:tab/>
      </w:r>
      <w:r w:rsidRPr="001B4AF1">
        <w:rPr>
          <w:rFonts w:ascii="Times New Roman" w:hAnsi="Times New Roman" w:cs="Times New Roman"/>
          <w:szCs w:val="24"/>
        </w:rPr>
        <w:t>Код овог питања испитаници су у приближно истом односу дали оцене од 1 до 4, када су дипломирани инжењери архитектуре у питању.</w:t>
      </w:r>
      <w:r w:rsidR="00206D57" w:rsidRPr="001B4AF1">
        <w:rPr>
          <w:rFonts w:ascii="Times New Roman" w:hAnsi="Times New Roman" w:cs="Times New Roman"/>
          <w:szCs w:val="24"/>
        </w:rPr>
        <w:t xml:space="preserve"> Просечна оцена ове компетенције је 2.3, што се може сврстати у ниже оцене.</w:t>
      </w:r>
      <w:r w:rsidR="0000277C" w:rsidRPr="001B4AF1">
        <w:rPr>
          <w:rFonts w:ascii="Times New Roman" w:hAnsi="Times New Roman" w:cs="Times New Roman"/>
          <w:szCs w:val="24"/>
        </w:rPr>
        <w:t xml:space="preserve"> </w:t>
      </w:r>
      <w:r w:rsidR="00F62B25" w:rsidRPr="001B4AF1">
        <w:rPr>
          <w:rFonts w:ascii="Times New Roman" w:hAnsi="Times New Roman" w:cs="Times New Roman"/>
          <w:szCs w:val="24"/>
        </w:rPr>
        <w:t>Закључак је да код архитеката треба радити на побољшању способ</w:t>
      </w:r>
      <w:r w:rsidR="0000277C" w:rsidRPr="001B4AF1">
        <w:rPr>
          <w:rFonts w:ascii="Times New Roman" w:hAnsi="Times New Roman" w:cs="Times New Roman"/>
          <w:szCs w:val="24"/>
        </w:rPr>
        <w:t xml:space="preserve">ности да самостално одлучују у </w:t>
      </w:r>
      <w:r w:rsidR="00F62B25" w:rsidRPr="001B4AF1">
        <w:rPr>
          <w:rFonts w:ascii="Times New Roman" w:hAnsi="Times New Roman" w:cs="Times New Roman"/>
          <w:szCs w:val="24"/>
        </w:rPr>
        <w:t xml:space="preserve">решавању конкретних проблема. </w:t>
      </w:r>
    </w:p>
    <w:p w:rsidR="00211FD8" w:rsidRPr="001B4AF1" w:rsidRDefault="00211FD8" w:rsidP="001B4AF1">
      <w:pPr>
        <w:spacing w:line="276" w:lineRule="auto"/>
        <w:jc w:val="center"/>
        <w:rPr>
          <w:rFonts w:ascii="Times New Roman" w:hAnsi="Times New Roman" w:cs="Times New Roman"/>
          <w:b/>
        </w:rPr>
      </w:pPr>
      <w:r w:rsidRPr="001B4AF1">
        <w:rPr>
          <w:noProof/>
        </w:rPr>
        <w:drawing>
          <wp:inline distT="0" distB="0" distL="0" distR="0">
            <wp:extent cx="3169920" cy="2141220"/>
            <wp:effectExtent l="0" t="0" r="1143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15149" w:rsidRPr="001B4AF1" w:rsidRDefault="00E15149" w:rsidP="001B4AF1">
      <w:pPr>
        <w:spacing w:line="276" w:lineRule="auto"/>
        <w:jc w:val="center"/>
        <w:rPr>
          <w:rFonts w:ascii="Times New Roman" w:hAnsi="Times New Roman" w:cs="Times New Roman"/>
        </w:rPr>
      </w:pPr>
      <w:r w:rsidRPr="001B4AF1">
        <w:rPr>
          <w:rFonts w:ascii="Times New Roman" w:hAnsi="Times New Roman" w:cs="Times New Roman"/>
          <w:szCs w:val="24"/>
        </w:rPr>
        <w:t xml:space="preserve">Графикон 2. </w:t>
      </w:r>
      <w:r w:rsidRPr="001B4AF1">
        <w:rPr>
          <w:rFonts w:ascii="Times New Roman" w:hAnsi="Times New Roman" w:cs="Times New Roman"/>
        </w:rPr>
        <w:t>Способност доношења одлука</w:t>
      </w:r>
    </w:p>
    <w:p w:rsidR="00E15149" w:rsidRPr="001B4AF1" w:rsidRDefault="00E15149" w:rsidP="001B4AF1">
      <w:pPr>
        <w:spacing w:line="276" w:lineRule="auto"/>
        <w:jc w:val="center"/>
        <w:rPr>
          <w:rFonts w:ascii="Times New Roman" w:hAnsi="Times New Roman" w:cs="Times New Roman"/>
        </w:rPr>
      </w:pPr>
    </w:p>
    <w:p w:rsidR="00E15149" w:rsidRPr="001B4AF1" w:rsidRDefault="00E15149" w:rsidP="001B4AF1">
      <w:pPr>
        <w:spacing w:line="276" w:lineRule="auto"/>
        <w:rPr>
          <w:rFonts w:ascii="Times New Roman" w:hAnsi="Times New Roman" w:cs="Times New Roman"/>
          <w:b/>
        </w:rPr>
      </w:pPr>
      <w:r w:rsidRPr="001B4AF1">
        <w:rPr>
          <w:rFonts w:ascii="Times New Roman" w:hAnsi="Times New Roman" w:cs="Times New Roman"/>
          <w:b/>
        </w:rPr>
        <w:t>3.Праћење технолошких иновација и стручне регулативе</w:t>
      </w:r>
    </w:p>
    <w:p w:rsidR="00E15149" w:rsidRPr="001B4AF1" w:rsidRDefault="00AE6B9C" w:rsidP="001B4AF1">
      <w:pPr>
        <w:spacing w:line="276" w:lineRule="auto"/>
        <w:rPr>
          <w:rFonts w:ascii="Times New Roman" w:hAnsi="Times New Roman" w:cs="Times New Roman"/>
        </w:rPr>
      </w:pPr>
      <w:r w:rsidRPr="001B4AF1">
        <w:rPr>
          <w:rFonts w:ascii="Times New Roman" w:hAnsi="Times New Roman" w:cs="Times New Roman"/>
          <w:b/>
        </w:rPr>
        <w:tab/>
      </w:r>
      <w:r w:rsidRPr="001B4AF1">
        <w:rPr>
          <w:rFonts w:ascii="Times New Roman" w:hAnsi="Times New Roman" w:cs="Times New Roman"/>
        </w:rPr>
        <w:t xml:space="preserve">У случају оспособљености за праћење технолошких иновација и познавање стручне регулативе </w:t>
      </w:r>
      <w:r w:rsidR="00206D57" w:rsidRPr="001B4AF1">
        <w:rPr>
          <w:rFonts w:ascii="Times New Roman" w:hAnsi="Times New Roman" w:cs="Times New Roman"/>
        </w:rPr>
        <w:t>нешто више од</w:t>
      </w:r>
      <w:r w:rsidRPr="001B4AF1">
        <w:rPr>
          <w:rFonts w:ascii="Times New Roman" w:hAnsi="Times New Roman" w:cs="Times New Roman"/>
        </w:rPr>
        <w:t xml:space="preserve"> 50 % послодаваца мисли да је претежно задовољавајућа.</w:t>
      </w:r>
      <w:r w:rsidR="0080416A" w:rsidRPr="001B4AF1">
        <w:rPr>
          <w:rFonts w:ascii="Times New Roman" w:hAnsi="Times New Roman" w:cs="Times New Roman"/>
        </w:rPr>
        <w:t xml:space="preserve"> Нико од испитаника није оценио ову </w:t>
      </w:r>
      <w:r w:rsidR="0080416A" w:rsidRPr="001B4AF1">
        <w:rPr>
          <w:rFonts w:ascii="Times New Roman" w:hAnsi="Times New Roman" w:cs="Times New Roman"/>
        </w:rPr>
        <w:lastRenderedPageBreak/>
        <w:t>компетенцију незадовољавајућом оценом, док су оцене 2, 3 и 5 заступљене у исто</w:t>
      </w:r>
      <w:r w:rsidR="00FB1242" w:rsidRPr="001B4AF1">
        <w:rPr>
          <w:rFonts w:ascii="Times New Roman" w:hAnsi="Times New Roman" w:cs="Times New Roman"/>
        </w:rPr>
        <w:t>м</w:t>
      </w:r>
      <w:r w:rsidR="0080416A" w:rsidRPr="001B4AF1">
        <w:rPr>
          <w:rFonts w:ascii="Times New Roman" w:hAnsi="Times New Roman" w:cs="Times New Roman"/>
        </w:rPr>
        <w:t xml:space="preserve"> односу, са 14.29%.</w:t>
      </w:r>
      <w:r w:rsidR="00206D57" w:rsidRPr="001B4AF1">
        <w:rPr>
          <w:rFonts w:ascii="Times New Roman" w:hAnsi="Times New Roman" w:cs="Times New Roman"/>
        </w:rPr>
        <w:t xml:space="preserve"> Са просечном оценом од 3.7 за ову компетенцију се може рећи да је претажно задовољавајућа и да има солидну оцену.</w:t>
      </w:r>
    </w:p>
    <w:p w:rsidR="0080486F" w:rsidRPr="001B4AF1" w:rsidRDefault="0080486F" w:rsidP="001B4AF1">
      <w:pPr>
        <w:spacing w:line="276" w:lineRule="auto"/>
        <w:rPr>
          <w:rFonts w:ascii="Times New Roman" w:hAnsi="Times New Roman" w:cs="Times New Roman"/>
          <w:sz w:val="18"/>
        </w:rPr>
      </w:pPr>
    </w:p>
    <w:p w:rsidR="00E15149" w:rsidRPr="001B4AF1" w:rsidRDefault="00E15149" w:rsidP="001B4AF1">
      <w:pPr>
        <w:spacing w:line="276" w:lineRule="auto"/>
        <w:jc w:val="center"/>
        <w:rPr>
          <w:noProof/>
        </w:rPr>
      </w:pPr>
      <w:r w:rsidRPr="001B4AF1">
        <w:rPr>
          <w:noProof/>
        </w:rPr>
        <w:drawing>
          <wp:inline distT="0" distB="0" distL="0" distR="0">
            <wp:extent cx="3147060" cy="1912620"/>
            <wp:effectExtent l="0" t="0" r="1524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E6B9C" w:rsidRPr="001B4AF1" w:rsidRDefault="00AE6B9C" w:rsidP="001B4AF1">
      <w:pPr>
        <w:spacing w:line="276" w:lineRule="auto"/>
        <w:jc w:val="center"/>
        <w:rPr>
          <w:rFonts w:ascii="Times New Roman" w:hAnsi="Times New Roman" w:cs="Times New Roman"/>
        </w:rPr>
      </w:pPr>
      <w:r w:rsidRPr="001B4AF1">
        <w:rPr>
          <w:rFonts w:ascii="Times New Roman" w:hAnsi="Times New Roman" w:cs="Times New Roman"/>
          <w:szCs w:val="24"/>
        </w:rPr>
        <w:t xml:space="preserve">Графикон 3. </w:t>
      </w:r>
      <w:r w:rsidRPr="001B4AF1">
        <w:rPr>
          <w:rFonts w:ascii="Times New Roman" w:hAnsi="Times New Roman" w:cs="Times New Roman"/>
        </w:rPr>
        <w:t>Праћење технолошких иновација и стручне регулативе</w:t>
      </w:r>
    </w:p>
    <w:p w:rsidR="00E01EEA" w:rsidRPr="001B4AF1" w:rsidRDefault="00E01EEA" w:rsidP="001B4AF1">
      <w:pPr>
        <w:spacing w:line="276" w:lineRule="auto"/>
        <w:jc w:val="center"/>
        <w:rPr>
          <w:rFonts w:ascii="Times New Roman" w:hAnsi="Times New Roman" w:cs="Times New Roman"/>
        </w:rPr>
      </w:pPr>
    </w:p>
    <w:p w:rsidR="00E01EEA" w:rsidRPr="001B4AF1" w:rsidRDefault="00E01EEA" w:rsidP="001B4AF1">
      <w:pPr>
        <w:spacing w:line="276" w:lineRule="auto"/>
        <w:rPr>
          <w:rFonts w:ascii="Times New Roman" w:hAnsi="Times New Roman" w:cs="Times New Roman"/>
          <w:b/>
        </w:rPr>
      </w:pPr>
      <w:r w:rsidRPr="001B4AF1">
        <w:rPr>
          <w:rFonts w:ascii="Times New Roman" w:hAnsi="Times New Roman" w:cs="Times New Roman"/>
          <w:b/>
        </w:rPr>
        <w:t>4. Способност аналитичког и критичког размишљања</w:t>
      </w:r>
    </w:p>
    <w:p w:rsidR="00E01EEA" w:rsidRPr="001B4AF1" w:rsidRDefault="00E01EEA" w:rsidP="001B4AF1">
      <w:pPr>
        <w:spacing w:line="276" w:lineRule="auto"/>
        <w:rPr>
          <w:rFonts w:ascii="Times New Roman" w:hAnsi="Times New Roman" w:cs="Times New Roman"/>
        </w:rPr>
      </w:pPr>
      <w:r w:rsidRPr="001B4AF1">
        <w:rPr>
          <w:rFonts w:ascii="Times New Roman" w:hAnsi="Times New Roman" w:cs="Times New Roman"/>
          <w:b/>
        </w:rPr>
        <w:tab/>
      </w:r>
      <w:r w:rsidRPr="001B4AF1">
        <w:rPr>
          <w:rFonts w:ascii="Times New Roman" w:hAnsi="Times New Roman" w:cs="Times New Roman"/>
        </w:rPr>
        <w:t>Оцену 3, односно задовољавајући ниво способности аналитичког и критичког размишљања има 42.86% послодаваца када су дипломирани ин</w:t>
      </w:r>
      <w:r w:rsidR="00BE043B" w:rsidRPr="001B4AF1">
        <w:rPr>
          <w:rFonts w:ascii="Times New Roman" w:hAnsi="Times New Roman" w:cs="Times New Roman"/>
        </w:rPr>
        <w:t>жењери архитектуре у питању</w:t>
      </w:r>
      <w:r w:rsidR="004B558F" w:rsidRPr="001B4AF1">
        <w:rPr>
          <w:rFonts w:ascii="Times New Roman" w:hAnsi="Times New Roman" w:cs="Times New Roman"/>
        </w:rPr>
        <w:t>.</w:t>
      </w:r>
      <w:r w:rsidR="00B2050B" w:rsidRPr="001B4AF1">
        <w:rPr>
          <w:rFonts w:ascii="Times New Roman" w:hAnsi="Times New Roman" w:cs="Times New Roman"/>
        </w:rPr>
        <w:t xml:space="preserve"> </w:t>
      </w:r>
      <w:r w:rsidR="00FB1242" w:rsidRPr="001B4AF1">
        <w:rPr>
          <w:rFonts w:ascii="Times New Roman" w:hAnsi="Times New Roman" w:cs="Times New Roman"/>
        </w:rPr>
        <w:t>Нико од испитаника није оценио ово питање незадовољавајућом оценом, док су оцене 2, 4 и 5 заступљене у скоро истом односу, као што се види на графикону 4.</w:t>
      </w:r>
      <w:r w:rsidR="00BE043B" w:rsidRPr="001B4AF1">
        <w:rPr>
          <w:rFonts w:ascii="Times New Roman" w:hAnsi="Times New Roman" w:cs="Times New Roman"/>
        </w:rPr>
        <w:t xml:space="preserve"> Просечна оцена 3.4 показује просечно добру способност аналитичког и критичког размишљања.</w:t>
      </w:r>
    </w:p>
    <w:p w:rsidR="00E01EEA" w:rsidRPr="001B4AF1" w:rsidRDefault="00E01EEA" w:rsidP="001B4AF1">
      <w:pPr>
        <w:spacing w:after="0" w:line="276" w:lineRule="auto"/>
        <w:rPr>
          <w:rFonts w:ascii="Times New Roman" w:hAnsi="Times New Roman" w:cs="Times New Roman"/>
          <w:b/>
        </w:rPr>
      </w:pPr>
    </w:p>
    <w:p w:rsidR="00E01EEA" w:rsidRPr="001B4AF1" w:rsidRDefault="00E01EEA" w:rsidP="001B4AF1">
      <w:pPr>
        <w:spacing w:line="276" w:lineRule="auto"/>
        <w:jc w:val="center"/>
        <w:rPr>
          <w:noProof/>
        </w:rPr>
      </w:pPr>
      <w:r w:rsidRPr="001B4AF1">
        <w:rPr>
          <w:noProof/>
        </w:rPr>
        <w:drawing>
          <wp:inline distT="0" distB="0" distL="0" distR="0">
            <wp:extent cx="3338932" cy="1894637"/>
            <wp:effectExtent l="19050" t="0" r="13868"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193E" w:rsidRPr="001B4AF1" w:rsidRDefault="00EA193E" w:rsidP="001B4AF1">
      <w:pPr>
        <w:spacing w:line="276" w:lineRule="auto"/>
        <w:jc w:val="center"/>
        <w:rPr>
          <w:rFonts w:ascii="Times New Roman" w:hAnsi="Times New Roman" w:cs="Times New Roman"/>
          <w:szCs w:val="24"/>
        </w:rPr>
      </w:pPr>
      <w:r w:rsidRPr="001B4AF1">
        <w:rPr>
          <w:rFonts w:ascii="Times New Roman" w:hAnsi="Times New Roman" w:cs="Times New Roman"/>
          <w:szCs w:val="24"/>
        </w:rPr>
        <w:t>Графикон 4. Способност аналитичког икритичког размишљања</w:t>
      </w:r>
    </w:p>
    <w:p w:rsidR="00EA193E" w:rsidRPr="001B4AF1" w:rsidRDefault="00EA193E" w:rsidP="001B4AF1">
      <w:pPr>
        <w:spacing w:line="276" w:lineRule="auto"/>
        <w:jc w:val="center"/>
        <w:rPr>
          <w:rFonts w:ascii="Times New Roman" w:hAnsi="Times New Roman" w:cs="Times New Roman"/>
          <w:szCs w:val="24"/>
        </w:rPr>
      </w:pPr>
    </w:p>
    <w:p w:rsidR="00EA193E" w:rsidRPr="001B4AF1" w:rsidRDefault="00EA193E" w:rsidP="001B4AF1">
      <w:pPr>
        <w:spacing w:line="276" w:lineRule="auto"/>
        <w:rPr>
          <w:rFonts w:ascii="Times New Roman" w:hAnsi="Times New Roman" w:cs="Times New Roman"/>
          <w:b/>
        </w:rPr>
      </w:pPr>
      <w:r w:rsidRPr="001B4AF1">
        <w:rPr>
          <w:rFonts w:ascii="Times New Roman" w:hAnsi="Times New Roman" w:cs="Times New Roman"/>
          <w:b/>
          <w:szCs w:val="24"/>
        </w:rPr>
        <w:t xml:space="preserve">5. </w:t>
      </w:r>
      <w:r w:rsidRPr="001B4AF1">
        <w:rPr>
          <w:rFonts w:ascii="Times New Roman" w:hAnsi="Times New Roman" w:cs="Times New Roman"/>
          <w:b/>
        </w:rPr>
        <w:t>Способност учествовања у стручним дискусијама</w:t>
      </w:r>
    </w:p>
    <w:p w:rsidR="00EA193E" w:rsidRPr="001B4AF1" w:rsidRDefault="00FB1242" w:rsidP="001B4AF1">
      <w:pPr>
        <w:spacing w:line="276" w:lineRule="auto"/>
        <w:rPr>
          <w:rFonts w:ascii="Times New Roman" w:hAnsi="Times New Roman" w:cs="Times New Roman"/>
        </w:rPr>
      </w:pPr>
      <w:r w:rsidRPr="001B4AF1">
        <w:rPr>
          <w:rFonts w:ascii="Times New Roman" w:hAnsi="Times New Roman" w:cs="Times New Roman"/>
        </w:rPr>
        <w:tab/>
      </w:r>
      <w:r w:rsidR="00EA193E" w:rsidRPr="001B4AF1">
        <w:rPr>
          <w:rFonts w:ascii="Times New Roman" w:hAnsi="Times New Roman" w:cs="Times New Roman"/>
        </w:rPr>
        <w:t xml:space="preserve">Када </w:t>
      </w:r>
      <w:r w:rsidR="0000277C" w:rsidRPr="001B4AF1">
        <w:rPr>
          <w:rFonts w:ascii="Times New Roman" w:hAnsi="Times New Roman" w:cs="Times New Roman"/>
        </w:rPr>
        <w:t xml:space="preserve">се </w:t>
      </w:r>
      <w:r w:rsidR="00EA193E" w:rsidRPr="001B4AF1">
        <w:rPr>
          <w:rFonts w:ascii="Times New Roman" w:hAnsi="Times New Roman" w:cs="Times New Roman"/>
        </w:rPr>
        <w:t>погледа</w:t>
      </w:r>
      <w:r w:rsidR="0000277C" w:rsidRPr="001B4AF1">
        <w:rPr>
          <w:rFonts w:ascii="Times New Roman" w:hAnsi="Times New Roman" w:cs="Times New Roman"/>
        </w:rPr>
        <w:t>ју</w:t>
      </w:r>
      <w:r w:rsidR="00EA193E" w:rsidRPr="001B4AF1">
        <w:rPr>
          <w:rFonts w:ascii="Times New Roman" w:hAnsi="Times New Roman" w:cs="Times New Roman"/>
        </w:rPr>
        <w:t xml:space="preserve"> дате оцене за учествовање у стручним дискусијама види</w:t>
      </w:r>
      <w:r w:rsidR="0000277C" w:rsidRPr="001B4AF1">
        <w:rPr>
          <w:rFonts w:ascii="Times New Roman" w:hAnsi="Times New Roman" w:cs="Times New Roman"/>
        </w:rPr>
        <w:t xml:space="preserve"> се</w:t>
      </w:r>
      <w:r w:rsidR="00EA193E" w:rsidRPr="001B4AF1">
        <w:rPr>
          <w:rFonts w:ascii="Times New Roman" w:hAnsi="Times New Roman" w:cs="Times New Roman"/>
        </w:rPr>
        <w:t xml:space="preserve"> да су послодавци</w:t>
      </w:r>
      <w:r w:rsidRPr="001B4AF1">
        <w:rPr>
          <w:rFonts w:ascii="Times New Roman" w:hAnsi="Times New Roman" w:cs="Times New Roman"/>
        </w:rPr>
        <w:t xml:space="preserve"> уједначено распоређивали оцене. Ако </w:t>
      </w:r>
      <w:r w:rsidR="00B2050B" w:rsidRPr="001B4AF1">
        <w:rPr>
          <w:rFonts w:ascii="Times New Roman" w:hAnsi="Times New Roman" w:cs="Times New Roman"/>
        </w:rPr>
        <w:t xml:space="preserve">се </w:t>
      </w:r>
      <w:r w:rsidRPr="001B4AF1">
        <w:rPr>
          <w:rFonts w:ascii="Times New Roman" w:hAnsi="Times New Roman" w:cs="Times New Roman"/>
        </w:rPr>
        <w:t>погледа</w:t>
      </w:r>
      <w:r w:rsidR="00B2050B" w:rsidRPr="001B4AF1">
        <w:rPr>
          <w:rFonts w:ascii="Times New Roman" w:hAnsi="Times New Roman" w:cs="Times New Roman"/>
        </w:rPr>
        <w:t>ју</w:t>
      </w:r>
      <w:r w:rsidRPr="001B4AF1">
        <w:rPr>
          <w:rFonts w:ascii="Times New Roman" w:hAnsi="Times New Roman" w:cs="Times New Roman"/>
        </w:rPr>
        <w:t xml:space="preserve"> оцене које су добијали дипломирани инжењери архитектуре запажа</w:t>
      </w:r>
      <w:r w:rsidR="00B2050B" w:rsidRPr="001B4AF1">
        <w:rPr>
          <w:rFonts w:ascii="Times New Roman" w:hAnsi="Times New Roman" w:cs="Times New Roman"/>
        </w:rPr>
        <w:t xml:space="preserve"> се</w:t>
      </w:r>
      <w:r w:rsidRPr="001B4AF1">
        <w:rPr>
          <w:rFonts w:ascii="Times New Roman" w:hAnsi="Times New Roman" w:cs="Times New Roman"/>
        </w:rPr>
        <w:t xml:space="preserve"> да је највећи број испитаника (</w:t>
      </w:r>
      <w:r w:rsidR="008064D5" w:rsidRPr="001B4AF1">
        <w:rPr>
          <w:rFonts w:ascii="Times New Roman" w:hAnsi="Times New Roman" w:cs="Times New Roman"/>
        </w:rPr>
        <w:t>57.14</w:t>
      </w:r>
      <w:r w:rsidRPr="001B4AF1">
        <w:rPr>
          <w:rFonts w:ascii="Times New Roman" w:hAnsi="Times New Roman" w:cs="Times New Roman"/>
        </w:rPr>
        <w:t xml:space="preserve">%) оценио ову компетенцију оценом 4, односно сматрају да је ниво способности учествовања у стручним дискусијама претежно задовољавајући.  </w:t>
      </w:r>
      <w:r w:rsidR="008064D5" w:rsidRPr="001B4AF1">
        <w:rPr>
          <w:rFonts w:ascii="Times New Roman" w:hAnsi="Times New Roman" w:cs="Times New Roman"/>
        </w:rPr>
        <w:t>Међ</w:t>
      </w:r>
      <w:r w:rsidR="00BE043B" w:rsidRPr="001B4AF1">
        <w:rPr>
          <w:rFonts w:ascii="Times New Roman" w:hAnsi="Times New Roman" w:cs="Times New Roman"/>
        </w:rPr>
        <w:t>утим, један број послодаваца се</w:t>
      </w:r>
      <w:r w:rsidR="008064D5" w:rsidRPr="001B4AF1">
        <w:rPr>
          <w:rFonts w:ascii="Times New Roman" w:hAnsi="Times New Roman" w:cs="Times New Roman"/>
        </w:rPr>
        <w:t xml:space="preserve"> определио за најнижу оцену 1, оцењујући тако ову компетенцију потпуно незадовољавајућом</w:t>
      </w:r>
      <w:r w:rsidR="00B2050B" w:rsidRPr="001B4AF1">
        <w:rPr>
          <w:rFonts w:ascii="Times New Roman" w:hAnsi="Times New Roman" w:cs="Times New Roman"/>
        </w:rPr>
        <w:t xml:space="preserve">, што указује да се ове компетенције </w:t>
      </w:r>
      <w:r w:rsidR="000D458E" w:rsidRPr="001B4AF1">
        <w:rPr>
          <w:rFonts w:ascii="Times New Roman" w:hAnsi="Times New Roman" w:cs="Times New Roman"/>
        </w:rPr>
        <w:t xml:space="preserve">дипломираних </w:t>
      </w:r>
      <w:r w:rsidR="00B2050B" w:rsidRPr="001B4AF1">
        <w:rPr>
          <w:rFonts w:ascii="Times New Roman" w:hAnsi="Times New Roman" w:cs="Times New Roman"/>
        </w:rPr>
        <w:t>архитекта морају унапредити</w:t>
      </w:r>
      <w:r w:rsidR="000D458E" w:rsidRPr="001B4AF1">
        <w:rPr>
          <w:rFonts w:ascii="Times New Roman" w:hAnsi="Times New Roman" w:cs="Times New Roman"/>
        </w:rPr>
        <w:t xml:space="preserve"> кроз увођење одговарајућих активности и захтева у студијске програме</w:t>
      </w:r>
      <w:r w:rsidR="008064D5" w:rsidRPr="001B4AF1">
        <w:rPr>
          <w:rFonts w:ascii="Times New Roman" w:hAnsi="Times New Roman" w:cs="Times New Roman"/>
        </w:rPr>
        <w:t xml:space="preserve">.  </w:t>
      </w:r>
    </w:p>
    <w:p w:rsidR="00EA193E" w:rsidRPr="001B4AF1" w:rsidRDefault="00EA193E" w:rsidP="001B4AF1">
      <w:pPr>
        <w:spacing w:line="276" w:lineRule="auto"/>
        <w:rPr>
          <w:rFonts w:ascii="Times New Roman" w:hAnsi="Times New Roman" w:cs="Times New Roman"/>
          <w:b/>
        </w:rPr>
      </w:pPr>
    </w:p>
    <w:p w:rsidR="00EA193E" w:rsidRPr="001B4AF1" w:rsidRDefault="00EA193E" w:rsidP="001B4AF1">
      <w:pPr>
        <w:spacing w:line="276" w:lineRule="auto"/>
        <w:jc w:val="center"/>
        <w:rPr>
          <w:noProof/>
        </w:rPr>
      </w:pPr>
      <w:r w:rsidRPr="001B4AF1">
        <w:rPr>
          <w:noProof/>
        </w:rPr>
        <w:lastRenderedPageBreak/>
        <w:drawing>
          <wp:inline distT="0" distB="0" distL="0" distR="0">
            <wp:extent cx="3147060" cy="2141220"/>
            <wp:effectExtent l="0" t="0" r="1524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193E" w:rsidRPr="001B4AF1" w:rsidRDefault="00EA193E" w:rsidP="001B4AF1">
      <w:pPr>
        <w:spacing w:line="276" w:lineRule="auto"/>
        <w:jc w:val="center"/>
        <w:rPr>
          <w:rFonts w:ascii="Times New Roman" w:hAnsi="Times New Roman" w:cs="Times New Roman"/>
        </w:rPr>
      </w:pPr>
      <w:r w:rsidRPr="001B4AF1">
        <w:rPr>
          <w:rFonts w:ascii="Times New Roman" w:hAnsi="Times New Roman" w:cs="Times New Roman"/>
          <w:szCs w:val="24"/>
        </w:rPr>
        <w:t>Графикон 5.</w:t>
      </w:r>
      <w:r w:rsidRPr="001B4AF1">
        <w:rPr>
          <w:rFonts w:ascii="Times New Roman" w:hAnsi="Times New Roman" w:cs="Times New Roman"/>
        </w:rPr>
        <w:t>Способност учествовања у стручним дискусијама</w:t>
      </w:r>
    </w:p>
    <w:p w:rsidR="008E3D74" w:rsidRPr="001B4AF1" w:rsidRDefault="008E3D74" w:rsidP="001B4AF1">
      <w:pPr>
        <w:spacing w:line="276" w:lineRule="auto"/>
        <w:jc w:val="center"/>
        <w:rPr>
          <w:rFonts w:ascii="Times New Roman" w:hAnsi="Times New Roman" w:cs="Times New Roman"/>
        </w:rPr>
      </w:pPr>
    </w:p>
    <w:p w:rsidR="008E3D74" w:rsidRPr="001B4AF1" w:rsidRDefault="008E3D74" w:rsidP="001B4AF1">
      <w:pPr>
        <w:spacing w:line="276" w:lineRule="auto"/>
        <w:rPr>
          <w:rFonts w:ascii="Times New Roman" w:hAnsi="Times New Roman" w:cs="Times New Roman"/>
          <w:b/>
        </w:rPr>
      </w:pPr>
      <w:r w:rsidRPr="001B4AF1">
        <w:rPr>
          <w:rFonts w:ascii="Times New Roman" w:hAnsi="Times New Roman" w:cs="Times New Roman"/>
          <w:b/>
        </w:rPr>
        <w:t>6. Мотивисаност за стицање нових стручних знања и вештина</w:t>
      </w:r>
    </w:p>
    <w:p w:rsidR="00671CF8" w:rsidRPr="001B4AF1" w:rsidRDefault="00671CF8" w:rsidP="001B4AF1">
      <w:pPr>
        <w:spacing w:line="276" w:lineRule="auto"/>
        <w:rPr>
          <w:rFonts w:ascii="Times New Roman" w:hAnsi="Times New Roman" w:cs="Times New Roman"/>
        </w:rPr>
      </w:pPr>
      <w:r w:rsidRPr="001B4AF1">
        <w:rPr>
          <w:rFonts w:ascii="Times New Roman" w:hAnsi="Times New Roman" w:cs="Times New Roman"/>
          <w:b/>
        </w:rPr>
        <w:tab/>
      </w:r>
      <w:r w:rsidR="00F84FF9" w:rsidRPr="001B4AF1">
        <w:rPr>
          <w:rFonts w:ascii="Times New Roman" w:hAnsi="Times New Roman" w:cs="Times New Roman"/>
        </w:rPr>
        <w:t xml:space="preserve">Мотивисаност за стицање нових стручних знања и вештина </w:t>
      </w:r>
      <w:r w:rsidR="001C3D56" w:rsidRPr="001B4AF1">
        <w:rPr>
          <w:rFonts w:ascii="Times New Roman" w:hAnsi="Times New Roman" w:cs="Times New Roman"/>
        </w:rPr>
        <w:t>је за дипломиране инжењере архитек</w:t>
      </w:r>
      <w:r w:rsidR="00BE043B" w:rsidRPr="001B4AF1">
        <w:rPr>
          <w:rFonts w:ascii="Times New Roman" w:hAnsi="Times New Roman" w:cs="Times New Roman"/>
        </w:rPr>
        <w:t xml:space="preserve">туре оцењена оценом 4 у 42.86%. </w:t>
      </w:r>
      <w:r w:rsidR="00B04598" w:rsidRPr="001B4AF1">
        <w:rPr>
          <w:rFonts w:ascii="Times New Roman" w:hAnsi="Times New Roman" w:cs="Times New Roman"/>
        </w:rPr>
        <w:t>Ово питање ј</w:t>
      </w:r>
      <w:r w:rsidR="001C3D56" w:rsidRPr="001B4AF1">
        <w:rPr>
          <w:rFonts w:ascii="Times New Roman" w:hAnsi="Times New Roman" w:cs="Times New Roman"/>
        </w:rPr>
        <w:t>е, за дипломиране инжењере архитектуре,</w:t>
      </w:r>
      <w:r w:rsidR="00B04598" w:rsidRPr="001B4AF1">
        <w:rPr>
          <w:rFonts w:ascii="Times New Roman" w:hAnsi="Times New Roman" w:cs="Times New Roman"/>
        </w:rPr>
        <w:t xml:space="preserve"> оцењено солидним оценама, 3, 4 и 5, док се за 1 и 2 нико нијеопределио.</w:t>
      </w:r>
      <w:r w:rsidR="0079343F" w:rsidRPr="001B4AF1">
        <w:rPr>
          <w:rFonts w:ascii="Times New Roman" w:hAnsi="Times New Roman" w:cs="Times New Roman"/>
        </w:rPr>
        <w:t xml:space="preserve"> </w:t>
      </w:r>
      <w:r w:rsidR="00BE043B" w:rsidRPr="001B4AF1">
        <w:rPr>
          <w:rFonts w:ascii="Times New Roman" w:hAnsi="Times New Roman" w:cs="Times New Roman"/>
        </w:rPr>
        <w:t>Просечна оцена 4 свакако показује врло добру мотивисаност за стицање нових стручних знања и вештина.</w:t>
      </w:r>
    </w:p>
    <w:p w:rsidR="008E3D74" w:rsidRPr="001B4AF1" w:rsidRDefault="008E3D74" w:rsidP="001B4AF1">
      <w:pPr>
        <w:spacing w:line="276" w:lineRule="auto"/>
        <w:rPr>
          <w:rFonts w:ascii="Times New Roman" w:hAnsi="Times New Roman" w:cs="Times New Roman"/>
          <w:sz w:val="18"/>
        </w:rPr>
      </w:pPr>
    </w:p>
    <w:p w:rsidR="008E3D74" w:rsidRPr="001B4AF1" w:rsidRDefault="008E3D74" w:rsidP="001B4AF1">
      <w:pPr>
        <w:spacing w:line="276" w:lineRule="auto"/>
        <w:jc w:val="center"/>
        <w:rPr>
          <w:noProof/>
        </w:rPr>
      </w:pPr>
      <w:r w:rsidRPr="001B4AF1">
        <w:rPr>
          <w:noProof/>
        </w:rPr>
        <w:drawing>
          <wp:inline distT="0" distB="0" distL="0" distR="0">
            <wp:extent cx="3139440" cy="2042160"/>
            <wp:effectExtent l="0" t="0" r="2286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3C5E" w:rsidRPr="001B4AF1" w:rsidRDefault="008E3D74" w:rsidP="001B4AF1">
      <w:pPr>
        <w:spacing w:line="276" w:lineRule="auto"/>
        <w:jc w:val="center"/>
        <w:rPr>
          <w:rFonts w:ascii="Times New Roman" w:hAnsi="Times New Roman" w:cs="Times New Roman"/>
        </w:rPr>
      </w:pPr>
      <w:r w:rsidRPr="001B4AF1">
        <w:rPr>
          <w:rFonts w:ascii="Times New Roman" w:hAnsi="Times New Roman" w:cs="Times New Roman"/>
          <w:szCs w:val="24"/>
        </w:rPr>
        <w:t xml:space="preserve">Графикон 6. </w:t>
      </w:r>
      <w:r w:rsidR="00671CF8" w:rsidRPr="001B4AF1">
        <w:rPr>
          <w:rFonts w:ascii="Times New Roman" w:hAnsi="Times New Roman" w:cs="Times New Roman"/>
        </w:rPr>
        <w:t>Мотивисаност за стицање нових стручних знања и вештина</w:t>
      </w:r>
    </w:p>
    <w:p w:rsidR="00E43C5E" w:rsidRPr="001B4AF1" w:rsidRDefault="00E43C5E" w:rsidP="001B4AF1">
      <w:pPr>
        <w:spacing w:line="276" w:lineRule="auto"/>
        <w:rPr>
          <w:rFonts w:ascii="Times New Roman" w:hAnsi="Times New Roman" w:cs="Times New Roman"/>
        </w:rPr>
      </w:pPr>
    </w:p>
    <w:p w:rsidR="00E43C5E" w:rsidRPr="001B4AF1" w:rsidRDefault="00E43C5E" w:rsidP="001B4AF1">
      <w:pPr>
        <w:spacing w:line="276" w:lineRule="auto"/>
        <w:rPr>
          <w:rFonts w:ascii="Times New Roman" w:hAnsi="Times New Roman" w:cs="Times New Roman"/>
        </w:rPr>
      </w:pPr>
    </w:p>
    <w:p w:rsidR="00E43C5E" w:rsidRPr="001B4AF1" w:rsidRDefault="00E43C5E" w:rsidP="001B4AF1">
      <w:pPr>
        <w:spacing w:line="276" w:lineRule="auto"/>
        <w:rPr>
          <w:rFonts w:ascii="Times New Roman" w:hAnsi="Times New Roman" w:cs="Times New Roman"/>
          <w:b/>
        </w:rPr>
      </w:pPr>
      <w:r w:rsidRPr="001B4AF1">
        <w:rPr>
          <w:rFonts w:ascii="Times New Roman" w:hAnsi="Times New Roman" w:cs="Times New Roman"/>
          <w:b/>
        </w:rPr>
        <w:t>7. Развијеност радних навика</w:t>
      </w:r>
    </w:p>
    <w:p w:rsidR="00BE5538" w:rsidRPr="001B4AF1" w:rsidRDefault="00BE5538" w:rsidP="001B4AF1">
      <w:pPr>
        <w:spacing w:line="276" w:lineRule="auto"/>
        <w:rPr>
          <w:rFonts w:ascii="Times New Roman" w:hAnsi="Times New Roman" w:cs="Times New Roman"/>
        </w:rPr>
      </w:pPr>
      <w:r w:rsidRPr="001B4AF1">
        <w:rPr>
          <w:rFonts w:ascii="Times New Roman" w:hAnsi="Times New Roman" w:cs="Times New Roman"/>
          <w:b/>
        </w:rPr>
        <w:tab/>
      </w:r>
      <w:r w:rsidR="008D2B95" w:rsidRPr="001B4AF1">
        <w:rPr>
          <w:rFonts w:ascii="Times New Roman" w:hAnsi="Times New Roman" w:cs="Times New Roman"/>
        </w:rPr>
        <w:t xml:space="preserve">Развијеност радних навика је оцењена оценама од 1 до 5, при чему је највећи број испитаника-послодаваца дао оцену 4, њих 42.86%. </w:t>
      </w:r>
      <w:r w:rsidRPr="001B4AF1">
        <w:rPr>
          <w:rFonts w:ascii="Times New Roman" w:hAnsi="Times New Roman" w:cs="Times New Roman"/>
        </w:rPr>
        <w:t xml:space="preserve">Зато се може закључити да је развијеност радних навика код </w:t>
      </w:r>
      <w:r w:rsidR="008D2B95" w:rsidRPr="001B4AF1">
        <w:rPr>
          <w:rFonts w:ascii="Times New Roman" w:hAnsi="Times New Roman" w:cs="Times New Roman"/>
        </w:rPr>
        <w:t>архитеката</w:t>
      </w:r>
      <w:r w:rsidRPr="001B4AF1">
        <w:rPr>
          <w:rFonts w:ascii="Times New Roman" w:hAnsi="Times New Roman" w:cs="Times New Roman"/>
        </w:rPr>
        <w:t xml:space="preserve"> на ниво</w:t>
      </w:r>
      <w:r w:rsidR="008D2B95" w:rsidRPr="001B4AF1">
        <w:rPr>
          <w:rFonts w:ascii="Times New Roman" w:hAnsi="Times New Roman" w:cs="Times New Roman"/>
        </w:rPr>
        <w:t>у који би ваљало подићи</w:t>
      </w:r>
      <w:r w:rsidRPr="001B4AF1">
        <w:rPr>
          <w:rFonts w:ascii="Times New Roman" w:hAnsi="Times New Roman" w:cs="Times New Roman"/>
        </w:rPr>
        <w:t xml:space="preserve"> што показује и средња оцена 3.</w:t>
      </w:r>
      <w:r w:rsidR="008D2B95" w:rsidRPr="001B4AF1">
        <w:rPr>
          <w:rFonts w:ascii="Times New Roman" w:hAnsi="Times New Roman" w:cs="Times New Roman"/>
        </w:rPr>
        <w:t>3</w:t>
      </w:r>
      <w:r w:rsidR="00014521" w:rsidRPr="001B4AF1">
        <w:rPr>
          <w:rFonts w:ascii="Times New Roman" w:hAnsi="Times New Roman" w:cs="Times New Roman"/>
        </w:rPr>
        <w:t>.</w:t>
      </w:r>
    </w:p>
    <w:p w:rsidR="00E43C5E" w:rsidRPr="001B4AF1" w:rsidRDefault="00E43C5E" w:rsidP="001B4AF1">
      <w:pPr>
        <w:spacing w:after="0" w:line="276" w:lineRule="auto"/>
        <w:jc w:val="center"/>
        <w:rPr>
          <w:rFonts w:ascii="Times New Roman" w:hAnsi="Times New Roman" w:cs="Times New Roman"/>
          <w:b/>
        </w:rPr>
      </w:pPr>
      <w:r w:rsidRPr="001B4AF1">
        <w:rPr>
          <w:noProof/>
        </w:rPr>
        <w:lastRenderedPageBreak/>
        <w:drawing>
          <wp:inline distT="0" distB="0" distL="0" distR="0">
            <wp:extent cx="3162300" cy="210312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3C5E" w:rsidRPr="001B4AF1" w:rsidRDefault="00E43C5E" w:rsidP="001B4AF1">
      <w:pPr>
        <w:spacing w:line="276" w:lineRule="auto"/>
        <w:jc w:val="center"/>
        <w:rPr>
          <w:rFonts w:ascii="Times New Roman" w:hAnsi="Times New Roman" w:cs="Times New Roman"/>
        </w:rPr>
      </w:pPr>
      <w:r w:rsidRPr="001B4AF1">
        <w:rPr>
          <w:rFonts w:ascii="Times New Roman" w:hAnsi="Times New Roman" w:cs="Times New Roman"/>
          <w:szCs w:val="24"/>
        </w:rPr>
        <w:t xml:space="preserve">Графикон 7. </w:t>
      </w:r>
      <w:r w:rsidR="00671CF8" w:rsidRPr="001B4AF1">
        <w:rPr>
          <w:rFonts w:ascii="Times New Roman" w:hAnsi="Times New Roman" w:cs="Times New Roman"/>
        </w:rPr>
        <w:t>Развијеност радних навика</w:t>
      </w:r>
    </w:p>
    <w:p w:rsidR="007C2A60" w:rsidRPr="001B4AF1" w:rsidRDefault="007C2A60" w:rsidP="001B4AF1">
      <w:pPr>
        <w:spacing w:line="276" w:lineRule="auto"/>
        <w:rPr>
          <w:rFonts w:ascii="Times New Roman" w:hAnsi="Times New Roman" w:cs="Times New Roman"/>
        </w:rPr>
      </w:pPr>
    </w:p>
    <w:p w:rsidR="00277B2A" w:rsidRPr="001B4AF1" w:rsidRDefault="00277B2A" w:rsidP="001B4AF1">
      <w:pPr>
        <w:spacing w:line="276" w:lineRule="auto"/>
        <w:rPr>
          <w:rFonts w:ascii="Times New Roman" w:hAnsi="Times New Roman" w:cs="Times New Roman"/>
        </w:rPr>
      </w:pPr>
    </w:p>
    <w:p w:rsidR="00277B2A" w:rsidRPr="001B4AF1" w:rsidRDefault="00277B2A" w:rsidP="001B4AF1">
      <w:pPr>
        <w:spacing w:line="276" w:lineRule="auto"/>
        <w:rPr>
          <w:rFonts w:ascii="Times New Roman" w:hAnsi="Times New Roman" w:cs="Times New Roman"/>
          <w:b/>
          <w:szCs w:val="24"/>
        </w:rPr>
      </w:pPr>
      <w:r w:rsidRPr="001B4AF1">
        <w:rPr>
          <w:rFonts w:ascii="Times New Roman" w:hAnsi="Times New Roman" w:cs="Times New Roman"/>
          <w:b/>
          <w:szCs w:val="24"/>
        </w:rPr>
        <w:t>8. Обученост за рад на савременим инжењерским софтверима</w:t>
      </w:r>
    </w:p>
    <w:p w:rsidR="00D83A52" w:rsidRPr="001B4AF1" w:rsidRDefault="00277B2A" w:rsidP="001B4AF1">
      <w:pPr>
        <w:spacing w:line="276" w:lineRule="auto"/>
        <w:rPr>
          <w:rFonts w:ascii="Times New Roman" w:hAnsi="Times New Roman" w:cs="Times New Roman"/>
        </w:rPr>
      </w:pPr>
      <w:r w:rsidRPr="001B4AF1">
        <w:rPr>
          <w:rFonts w:ascii="Times New Roman" w:hAnsi="Times New Roman" w:cs="Times New Roman"/>
        </w:rPr>
        <w:tab/>
        <w:t>Са приказаног графикона</w:t>
      </w:r>
      <w:r w:rsidR="00D61604" w:rsidRPr="001B4AF1">
        <w:rPr>
          <w:rFonts w:ascii="Times New Roman" w:hAnsi="Times New Roman" w:cs="Times New Roman"/>
        </w:rPr>
        <w:t>,</w:t>
      </w:r>
      <w:r w:rsidRPr="001B4AF1">
        <w:rPr>
          <w:rFonts w:ascii="Times New Roman" w:hAnsi="Times New Roman" w:cs="Times New Roman"/>
        </w:rPr>
        <w:t xml:space="preserve"> када су оцене дипломираних инжењера архитектуре у питању</w:t>
      </w:r>
      <w:r w:rsidR="00D61604" w:rsidRPr="001B4AF1">
        <w:rPr>
          <w:rFonts w:ascii="Times New Roman" w:hAnsi="Times New Roman" w:cs="Times New Roman"/>
        </w:rPr>
        <w:t xml:space="preserve">, може се закљућити да су у великој мери обучени и припремљени за рад на инжењерским софтверима. Већина испитаника, њих 57.14%, сматра да је ниво обучености претежно задовољавајући, 28.57% се изјаснило да су у потпуности задовољни, а исто толико се изјаснило и да су делимично задовољни. Важно је напоменути да нико од испитаника није дао најнижу оцену 1 као ни оцену 3. </w:t>
      </w:r>
      <w:r w:rsidR="00D83A52" w:rsidRPr="001B4AF1">
        <w:rPr>
          <w:rFonts w:ascii="Times New Roman" w:hAnsi="Times New Roman" w:cs="Times New Roman"/>
        </w:rPr>
        <w:t>Обученост за рад на инжењерским софтверима је претежно задовољавајућа, што показује и оцена 3.8.</w:t>
      </w:r>
    </w:p>
    <w:p w:rsidR="007C2A60" w:rsidRPr="001B4AF1" w:rsidRDefault="007C2A60" w:rsidP="001B4AF1">
      <w:pPr>
        <w:spacing w:line="276" w:lineRule="auto"/>
        <w:rPr>
          <w:rFonts w:ascii="Times New Roman" w:hAnsi="Times New Roman" w:cs="Times New Roman"/>
          <w:sz w:val="18"/>
        </w:rPr>
      </w:pPr>
    </w:p>
    <w:p w:rsidR="008E3D74" w:rsidRPr="001B4AF1" w:rsidRDefault="007C2A60" w:rsidP="001B4AF1">
      <w:pPr>
        <w:spacing w:line="276" w:lineRule="auto"/>
        <w:jc w:val="center"/>
        <w:rPr>
          <w:rFonts w:ascii="Times New Roman" w:hAnsi="Times New Roman" w:cs="Times New Roman"/>
        </w:rPr>
      </w:pPr>
      <w:r w:rsidRPr="001B4AF1">
        <w:rPr>
          <w:noProof/>
        </w:rPr>
        <w:drawing>
          <wp:inline distT="0" distB="0" distL="0" distR="0">
            <wp:extent cx="3116580" cy="1965960"/>
            <wp:effectExtent l="0" t="0" r="26670" b="1524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7B2A" w:rsidRPr="001B4AF1" w:rsidRDefault="00277B2A" w:rsidP="001B4AF1">
      <w:pPr>
        <w:spacing w:line="276" w:lineRule="auto"/>
        <w:jc w:val="center"/>
        <w:rPr>
          <w:rFonts w:ascii="Times New Roman" w:hAnsi="Times New Roman" w:cs="Times New Roman"/>
        </w:rPr>
      </w:pPr>
      <w:r w:rsidRPr="001B4AF1">
        <w:rPr>
          <w:rFonts w:ascii="Times New Roman" w:hAnsi="Times New Roman" w:cs="Times New Roman"/>
          <w:szCs w:val="24"/>
        </w:rPr>
        <w:t xml:space="preserve">Графикон 8. </w:t>
      </w:r>
      <w:r w:rsidR="00687C59" w:rsidRPr="001B4AF1">
        <w:rPr>
          <w:rFonts w:ascii="Times New Roman" w:hAnsi="Times New Roman" w:cs="Times New Roman"/>
          <w:szCs w:val="24"/>
        </w:rPr>
        <w:t>Обученост за рад на савременим инжењерским софтверима</w:t>
      </w:r>
    </w:p>
    <w:p w:rsidR="007C2A60" w:rsidRPr="001B4AF1" w:rsidRDefault="007C2A60" w:rsidP="001B4AF1">
      <w:pPr>
        <w:spacing w:line="276" w:lineRule="auto"/>
        <w:rPr>
          <w:rFonts w:ascii="Times New Roman" w:hAnsi="Times New Roman" w:cs="Times New Roman"/>
        </w:rPr>
      </w:pPr>
    </w:p>
    <w:p w:rsidR="007C2A60" w:rsidRPr="001B4AF1" w:rsidRDefault="007C2A60" w:rsidP="001B4AF1">
      <w:pPr>
        <w:spacing w:line="276" w:lineRule="auto"/>
        <w:jc w:val="center"/>
        <w:rPr>
          <w:rFonts w:ascii="Times New Roman" w:hAnsi="Times New Roman" w:cs="Times New Roman"/>
        </w:rPr>
      </w:pPr>
    </w:p>
    <w:p w:rsidR="007C2A60" w:rsidRPr="001B4AF1" w:rsidRDefault="00C10696" w:rsidP="001B4AF1">
      <w:pPr>
        <w:spacing w:line="276" w:lineRule="auto"/>
        <w:rPr>
          <w:rFonts w:ascii="Times New Roman" w:hAnsi="Times New Roman" w:cs="Times New Roman"/>
          <w:b/>
        </w:rPr>
      </w:pPr>
      <w:r w:rsidRPr="001B4AF1">
        <w:rPr>
          <w:rFonts w:ascii="Times New Roman" w:hAnsi="Times New Roman" w:cs="Times New Roman"/>
          <w:b/>
        </w:rPr>
        <w:t>9. Способност за тимски рад</w:t>
      </w:r>
    </w:p>
    <w:p w:rsidR="00D06111" w:rsidRPr="001B4AF1" w:rsidRDefault="00D06111" w:rsidP="001B4AF1">
      <w:pPr>
        <w:spacing w:line="276" w:lineRule="auto"/>
        <w:rPr>
          <w:rFonts w:ascii="Times New Roman" w:hAnsi="Times New Roman" w:cs="Times New Roman"/>
        </w:rPr>
      </w:pPr>
      <w:r w:rsidRPr="001B4AF1">
        <w:rPr>
          <w:rFonts w:ascii="Times New Roman" w:hAnsi="Times New Roman" w:cs="Times New Roman"/>
          <w:b/>
        </w:rPr>
        <w:tab/>
      </w:r>
      <w:r w:rsidRPr="001B4AF1">
        <w:rPr>
          <w:rFonts w:ascii="Times New Roman" w:hAnsi="Times New Roman" w:cs="Times New Roman"/>
        </w:rPr>
        <w:t xml:space="preserve">Оцена способности за тимски рад је код дипломираних инжењера архитектуре </w:t>
      </w:r>
      <w:r w:rsidR="000F14CC" w:rsidRPr="001B4AF1">
        <w:rPr>
          <w:rFonts w:ascii="Times New Roman" w:hAnsi="Times New Roman" w:cs="Times New Roman"/>
        </w:rPr>
        <w:t>износи 3.8</w:t>
      </w:r>
      <w:r w:rsidRPr="001B4AF1">
        <w:rPr>
          <w:rFonts w:ascii="Times New Roman" w:hAnsi="Times New Roman" w:cs="Times New Roman"/>
        </w:rPr>
        <w:t>.</w:t>
      </w:r>
      <w:r w:rsidR="000F14CC" w:rsidRPr="001B4AF1">
        <w:rPr>
          <w:rFonts w:ascii="Times New Roman" w:hAnsi="Times New Roman" w:cs="Times New Roman"/>
        </w:rPr>
        <w:t xml:space="preserve"> Овa оценa</w:t>
      </w:r>
      <w:r w:rsidR="0079343F" w:rsidRPr="001B4AF1">
        <w:rPr>
          <w:rFonts w:ascii="Times New Roman" w:hAnsi="Times New Roman" w:cs="Times New Roman"/>
        </w:rPr>
        <w:t xml:space="preserve"> </w:t>
      </w:r>
      <w:r w:rsidR="000F14CC" w:rsidRPr="001B4AF1">
        <w:rPr>
          <w:rFonts w:ascii="Times New Roman" w:hAnsi="Times New Roman" w:cs="Times New Roman"/>
        </w:rPr>
        <w:t>приказујe</w:t>
      </w:r>
      <w:r w:rsidR="0079343F" w:rsidRPr="001B4AF1">
        <w:rPr>
          <w:rFonts w:ascii="Times New Roman" w:hAnsi="Times New Roman" w:cs="Times New Roman"/>
        </w:rPr>
        <w:t xml:space="preserve"> </w:t>
      </w:r>
      <w:r w:rsidR="00BD0DE1" w:rsidRPr="001B4AF1">
        <w:rPr>
          <w:rFonts w:ascii="Times New Roman" w:hAnsi="Times New Roman" w:cs="Times New Roman"/>
        </w:rPr>
        <w:t>веома добру организованост за тимски рад.</w:t>
      </w:r>
      <w:r w:rsidR="0079343F" w:rsidRPr="001B4AF1">
        <w:rPr>
          <w:rFonts w:ascii="Times New Roman" w:hAnsi="Times New Roman" w:cs="Times New Roman"/>
        </w:rPr>
        <w:t xml:space="preserve"> </w:t>
      </w:r>
      <w:r w:rsidR="000F14CC" w:rsidRPr="001B4AF1">
        <w:rPr>
          <w:rFonts w:ascii="Times New Roman" w:hAnsi="Times New Roman" w:cs="Times New Roman"/>
        </w:rPr>
        <w:t xml:space="preserve">Ни један послодавац се није определио за оцену 1 и 2, док је највећи број, њих 42.86%, </w:t>
      </w:r>
      <w:r w:rsidR="00D15B2B" w:rsidRPr="001B4AF1">
        <w:rPr>
          <w:rFonts w:ascii="Times New Roman" w:hAnsi="Times New Roman" w:cs="Times New Roman"/>
        </w:rPr>
        <w:t xml:space="preserve">дао оцену 3, 14.29% оцену 4 и 28.57% </w:t>
      </w:r>
      <w:r w:rsidR="000F14CC" w:rsidRPr="001B4AF1">
        <w:rPr>
          <w:rFonts w:ascii="Times New Roman" w:hAnsi="Times New Roman" w:cs="Times New Roman"/>
        </w:rPr>
        <w:t xml:space="preserve">оцену 5. </w:t>
      </w:r>
    </w:p>
    <w:p w:rsidR="007C2A60" w:rsidRPr="001B4AF1" w:rsidRDefault="007C2A60" w:rsidP="001B4AF1">
      <w:pPr>
        <w:spacing w:line="276" w:lineRule="auto"/>
        <w:jc w:val="center"/>
        <w:rPr>
          <w:noProof/>
        </w:rPr>
      </w:pPr>
      <w:r w:rsidRPr="001B4AF1">
        <w:rPr>
          <w:noProof/>
        </w:rPr>
        <w:lastRenderedPageBreak/>
        <w:drawing>
          <wp:inline distT="0" distB="0" distL="0" distR="0">
            <wp:extent cx="3131820" cy="1897380"/>
            <wp:effectExtent l="0" t="0" r="11430" b="266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6111" w:rsidRPr="001B4AF1" w:rsidRDefault="00D06111" w:rsidP="001B4AF1">
      <w:pPr>
        <w:spacing w:line="276" w:lineRule="auto"/>
        <w:jc w:val="center"/>
        <w:rPr>
          <w:rFonts w:ascii="Times New Roman" w:hAnsi="Times New Roman" w:cs="Times New Roman"/>
        </w:rPr>
      </w:pPr>
      <w:r w:rsidRPr="001B4AF1">
        <w:rPr>
          <w:rFonts w:ascii="Times New Roman" w:hAnsi="Times New Roman" w:cs="Times New Roman"/>
          <w:szCs w:val="24"/>
        </w:rPr>
        <w:t xml:space="preserve">Графикон 9. </w:t>
      </w:r>
      <w:r w:rsidRPr="001B4AF1">
        <w:rPr>
          <w:rFonts w:ascii="Times New Roman" w:hAnsi="Times New Roman" w:cs="Times New Roman"/>
        </w:rPr>
        <w:t>Способност за тимски рад</w:t>
      </w:r>
    </w:p>
    <w:p w:rsidR="00D06111" w:rsidRPr="001B4AF1" w:rsidRDefault="00D06111" w:rsidP="001B4AF1">
      <w:pPr>
        <w:spacing w:line="276" w:lineRule="auto"/>
        <w:rPr>
          <w:noProof/>
        </w:rPr>
      </w:pPr>
    </w:p>
    <w:p w:rsidR="00BD0DE1" w:rsidRPr="001B4AF1" w:rsidRDefault="00BD0DE1" w:rsidP="001B4AF1">
      <w:pPr>
        <w:spacing w:line="276" w:lineRule="auto"/>
        <w:rPr>
          <w:rFonts w:ascii="Times New Roman" w:hAnsi="Times New Roman" w:cs="Times New Roman"/>
          <w:b/>
        </w:rPr>
      </w:pPr>
      <w:r w:rsidRPr="001B4AF1">
        <w:rPr>
          <w:rFonts w:ascii="Times New Roman" w:hAnsi="Times New Roman" w:cs="Times New Roman"/>
          <w:b/>
        </w:rPr>
        <w:t>10. Поштовање професионалне етике</w:t>
      </w:r>
    </w:p>
    <w:p w:rsidR="00D06111" w:rsidRPr="001B4AF1" w:rsidRDefault="000F3B12" w:rsidP="001B4AF1">
      <w:pPr>
        <w:spacing w:line="276" w:lineRule="auto"/>
        <w:rPr>
          <w:rFonts w:ascii="Times New Roman" w:hAnsi="Times New Roman" w:cs="Times New Roman"/>
        </w:rPr>
      </w:pPr>
      <w:r w:rsidRPr="001B4AF1">
        <w:rPr>
          <w:rFonts w:ascii="Times New Roman" w:hAnsi="Times New Roman" w:cs="Times New Roman"/>
        </w:rPr>
        <w:tab/>
        <w:t>Питање које се односи на поштовање професионалне етике показује велику одговорност и висок степен поштовања, као што се види на графикону. На</w:t>
      </w:r>
      <w:r w:rsidR="00D15B2B" w:rsidRPr="001B4AF1">
        <w:rPr>
          <w:rFonts w:ascii="Times New Roman" w:hAnsi="Times New Roman" w:cs="Times New Roman"/>
        </w:rPr>
        <w:t xml:space="preserve"> такав закључак упућују и средња оцена 3.9.</w:t>
      </w:r>
    </w:p>
    <w:p w:rsidR="00D06111" w:rsidRPr="001B4AF1" w:rsidRDefault="00D06111" w:rsidP="001B4AF1">
      <w:pPr>
        <w:spacing w:after="0" w:line="276" w:lineRule="auto"/>
        <w:rPr>
          <w:noProof/>
          <w:sz w:val="16"/>
        </w:rPr>
      </w:pPr>
    </w:p>
    <w:p w:rsidR="007C2A60" w:rsidRPr="001B4AF1" w:rsidRDefault="00BD0DE1" w:rsidP="001B4AF1">
      <w:pPr>
        <w:spacing w:after="0" w:line="276" w:lineRule="auto"/>
        <w:jc w:val="center"/>
        <w:rPr>
          <w:noProof/>
        </w:rPr>
      </w:pPr>
      <w:r w:rsidRPr="001B4AF1">
        <w:rPr>
          <w:noProof/>
        </w:rPr>
        <w:drawing>
          <wp:inline distT="0" distB="0" distL="0" distR="0">
            <wp:extent cx="3177540" cy="1859280"/>
            <wp:effectExtent l="0" t="0" r="22860" b="266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3B12" w:rsidRPr="001B4AF1" w:rsidRDefault="000F3B12" w:rsidP="001B4AF1">
      <w:pPr>
        <w:spacing w:line="276" w:lineRule="auto"/>
        <w:jc w:val="center"/>
        <w:rPr>
          <w:rFonts w:ascii="Times New Roman" w:hAnsi="Times New Roman" w:cs="Times New Roman"/>
        </w:rPr>
      </w:pPr>
      <w:r w:rsidRPr="001B4AF1">
        <w:rPr>
          <w:rFonts w:ascii="Times New Roman" w:hAnsi="Times New Roman" w:cs="Times New Roman"/>
        </w:rPr>
        <w:t>10. Поштовање професионалне етике</w:t>
      </w:r>
    </w:p>
    <w:p w:rsidR="000F3B12" w:rsidRPr="001B4AF1" w:rsidRDefault="000F3B12" w:rsidP="001B4AF1">
      <w:pPr>
        <w:spacing w:after="0" w:line="276" w:lineRule="auto"/>
        <w:rPr>
          <w:noProof/>
        </w:rPr>
      </w:pPr>
    </w:p>
    <w:p w:rsidR="000F3B12" w:rsidRPr="001B4AF1" w:rsidRDefault="000F3B12" w:rsidP="001B4AF1">
      <w:pPr>
        <w:spacing w:line="276" w:lineRule="auto"/>
        <w:rPr>
          <w:rFonts w:ascii="Times New Roman" w:hAnsi="Times New Roman" w:cs="Times New Roman"/>
          <w:b/>
        </w:rPr>
      </w:pPr>
      <w:r w:rsidRPr="001B4AF1">
        <w:rPr>
          <w:rFonts w:ascii="Times New Roman" w:hAnsi="Times New Roman" w:cs="Times New Roman"/>
          <w:b/>
        </w:rPr>
        <w:t>11. Способност извршавања обавеза у траженом року</w:t>
      </w:r>
    </w:p>
    <w:p w:rsidR="007C2A60" w:rsidRPr="001B4AF1" w:rsidRDefault="00AD3941" w:rsidP="001B4AF1">
      <w:pPr>
        <w:spacing w:after="240" w:line="276" w:lineRule="auto"/>
        <w:rPr>
          <w:rFonts w:ascii="Times New Roman" w:hAnsi="Times New Roman" w:cs="Times New Roman"/>
        </w:rPr>
      </w:pPr>
      <w:r w:rsidRPr="001B4AF1">
        <w:rPr>
          <w:rFonts w:ascii="Times New Roman" w:hAnsi="Times New Roman" w:cs="Times New Roman"/>
          <w:b/>
        </w:rPr>
        <w:tab/>
      </w:r>
      <w:r w:rsidRPr="001B4AF1">
        <w:rPr>
          <w:rFonts w:ascii="Times New Roman" w:hAnsi="Times New Roman" w:cs="Times New Roman"/>
        </w:rPr>
        <w:t xml:space="preserve">Способност извршавања </w:t>
      </w:r>
      <w:r w:rsidR="00D15B2B" w:rsidRPr="001B4AF1">
        <w:rPr>
          <w:rFonts w:ascii="Times New Roman" w:hAnsi="Times New Roman" w:cs="Times New Roman"/>
        </w:rPr>
        <w:t>обавеза у траженом року је</w:t>
      </w:r>
      <w:r w:rsidRPr="001B4AF1">
        <w:rPr>
          <w:rFonts w:ascii="Times New Roman" w:hAnsi="Times New Roman" w:cs="Times New Roman"/>
        </w:rPr>
        <w:t xml:space="preserve"> код дипломираних инжењера архитектуре </w:t>
      </w:r>
      <w:r w:rsidR="00D15B2B" w:rsidRPr="001B4AF1">
        <w:rPr>
          <w:rFonts w:ascii="Times New Roman" w:hAnsi="Times New Roman" w:cs="Times New Roman"/>
        </w:rPr>
        <w:t xml:space="preserve">оцењена </w:t>
      </w:r>
      <w:r w:rsidRPr="001B4AF1">
        <w:rPr>
          <w:rFonts w:ascii="Times New Roman" w:hAnsi="Times New Roman" w:cs="Times New Roman"/>
        </w:rPr>
        <w:t>просечном оценом 2.8. Већина испитаника/послодаваца сматра да</w:t>
      </w:r>
      <w:r w:rsidR="00D15B2B" w:rsidRPr="001B4AF1">
        <w:rPr>
          <w:rFonts w:ascii="Times New Roman" w:hAnsi="Times New Roman" w:cs="Times New Roman"/>
        </w:rPr>
        <w:t xml:space="preserve"> дипломирани инжењери</w:t>
      </w:r>
      <w:bookmarkStart w:id="0" w:name="_GoBack"/>
      <w:bookmarkEnd w:id="0"/>
      <w:r w:rsidRPr="001B4AF1">
        <w:rPr>
          <w:rFonts w:ascii="Times New Roman" w:hAnsi="Times New Roman" w:cs="Times New Roman"/>
        </w:rPr>
        <w:t xml:space="preserve"> делимично задовољавају способност извршавања обавеза које су везане за одређене рокове. Може се констатовати да је ово још један сегмент на коме треба порадити како би будући дипломирани инжењери показали бољу способност</w:t>
      </w:r>
      <w:r w:rsidR="002349AB" w:rsidRPr="001B4AF1">
        <w:rPr>
          <w:rFonts w:ascii="Times New Roman" w:hAnsi="Times New Roman" w:cs="Times New Roman"/>
        </w:rPr>
        <w:t xml:space="preserve"> извршавања обавеза у траженом року.</w:t>
      </w:r>
    </w:p>
    <w:p w:rsidR="007C2A60" w:rsidRPr="001B4AF1" w:rsidRDefault="007C2A60" w:rsidP="001B4AF1">
      <w:pPr>
        <w:spacing w:after="0" w:line="276" w:lineRule="auto"/>
        <w:jc w:val="center"/>
        <w:rPr>
          <w:rFonts w:ascii="Times New Roman" w:hAnsi="Times New Roman" w:cs="Times New Roman"/>
        </w:rPr>
      </w:pPr>
      <w:r w:rsidRPr="001B4AF1">
        <w:rPr>
          <w:noProof/>
        </w:rPr>
        <w:drawing>
          <wp:inline distT="0" distB="0" distL="0" distR="0">
            <wp:extent cx="3147060" cy="1821180"/>
            <wp:effectExtent l="0" t="0" r="15240" b="266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43D6" w:rsidRPr="001B4AF1" w:rsidRDefault="008443D6" w:rsidP="001B4AF1">
      <w:pPr>
        <w:spacing w:after="0" w:line="276" w:lineRule="auto"/>
        <w:jc w:val="center"/>
        <w:rPr>
          <w:rFonts w:ascii="Times New Roman" w:hAnsi="Times New Roman" w:cs="Times New Roman"/>
        </w:rPr>
      </w:pPr>
      <w:r w:rsidRPr="001B4AF1">
        <w:rPr>
          <w:rFonts w:ascii="Times New Roman" w:hAnsi="Times New Roman" w:cs="Times New Roman"/>
        </w:rPr>
        <w:t>11. Способност извршавања обавеза у траженом року</w:t>
      </w:r>
    </w:p>
    <w:p w:rsidR="002D0FA5" w:rsidRPr="001B4AF1" w:rsidRDefault="002D0FA5" w:rsidP="001B4AF1">
      <w:pPr>
        <w:spacing w:after="0" w:line="276" w:lineRule="auto"/>
        <w:jc w:val="center"/>
        <w:rPr>
          <w:rFonts w:ascii="Times New Roman" w:hAnsi="Times New Roman"/>
          <w:b/>
          <w:sz w:val="24"/>
          <w:szCs w:val="24"/>
          <w:lang w:val="ru-RU"/>
        </w:rPr>
      </w:pPr>
    </w:p>
    <w:p w:rsidR="002171B9" w:rsidRPr="001B4AF1" w:rsidRDefault="002171B9" w:rsidP="001B4AF1">
      <w:pPr>
        <w:spacing w:after="0" w:line="276" w:lineRule="auto"/>
        <w:jc w:val="center"/>
        <w:rPr>
          <w:rFonts w:ascii="Times New Roman" w:hAnsi="Times New Roman"/>
          <w:b/>
          <w:sz w:val="24"/>
          <w:szCs w:val="24"/>
        </w:rPr>
      </w:pPr>
      <w:r w:rsidRPr="001B4AF1">
        <w:rPr>
          <w:rFonts w:ascii="Times New Roman" w:hAnsi="Times New Roman"/>
          <w:b/>
          <w:sz w:val="24"/>
          <w:szCs w:val="24"/>
          <w:lang w:val="ru-RU"/>
        </w:rPr>
        <w:t>Закључци</w:t>
      </w:r>
      <w:r w:rsidRPr="001B4AF1">
        <w:rPr>
          <w:rFonts w:ascii="Times New Roman" w:hAnsi="Times New Roman"/>
          <w:b/>
          <w:sz w:val="24"/>
          <w:szCs w:val="24"/>
        </w:rPr>
        <w:t>, мере и активности</w:t>
      </w:r>
      <w:r w:rsidR="00975833" w:rsidRPr="001B4AF1">
        <w:rPr>
          <w:rFonts w:ascii="Times New Roman" w:hAnsi="Times New Roman"/>
          <w:b/>
          <w:sz w:val="24"/>
          <w:szCs w:val="24"/>
        </w:rPr>
        <w:t xml:space="preserve"> на основу анализа резултата анкета о задовољству послодаваца стеченим квалификацијама дипломираних инжењерa архитектуре</w:t>
      </w:r>
    </w:p>
    <w:p w:rsidR="00B2050B" w:rsidRPr="001B4AF1" w:rsidRDefault="00B2050B" w:rsidP="001B4AF1">
      <w:pPr>
        <w:spacing w:after="0" w:line="276" w:lineRule="auto"/>
        <w:rPr>
          <w:rFonts w:ascii="Times New Roman" w:hAnsi="Times New Roman" w:cs="Times New Roman"/>
        </w:rPr>
      </w:pPr>
    </w:p>
    <w:p w:rsidR="002F12BC" w:rsidRPr="001B4AF1" w:rsidRDefault="00236D3E" w:rsidP="001B4AF1">
      <w:pPr>
        <w:spacing w:after="120" w:line="276" w:lineRule="auto"/>
        <w:rPr>
          <w:rFonts w:ascii="Times New Roman" w:hAnsi="Times New Roman" w:cs="Times New Roman"/>
        </w:rPr>
      </w:pPr>
      <w:r w:rsidRPr="001B4AF1">
        <w:rPr>
          <w:rFonts w:ascii="Times New Roman" w:hAnsi="Times New Roman" w:cs="Times New Roman"/>
        </w:rPr>
        <w:tab/>
        <w:t xml:space="preserve">Добијена мишљења послодаваца су изузетно важан показатељ </w:t>
      </w:r>
      <w:r w:rsidR="00942768" w:rsidRPr="001B4AF1">
        <w:rPr>
          <w:rFonts w:ascii="Times New Roman" w:hAnsi="Times New Roman" w:cs="Times New Roman"/>
        </w:rPr>
        <w:t>који свакако треба узети у обзир при даљем унапређењу студијских програма. Релевантности ових мишљења би свакако допринео већи одзив</w:t>
      </w:r>
      <w:r w:rsidR="00010A0C" w:rsidRPr="001B4AF1">
        <w:rPr>
          <w:rFonts w:ascii="Times New Roman" w:hAnsi="Times New Roman" w:cs="Times New Roman"/>
        </w:rPr>
        <w:t xml:space="preserve"> </w:t>
      </w:r>
      <w:r w:rsidR="00942768" w:rsidRPr="001B4AF1">
        <w:rPr>
          <w:rFonts w:ascii="Times New Roman" w:hAnsi="Times New Roman" w:cs="Times New Roman"/>
        </w:rPr>
        <w:t xml:space="preserve">послодаваца да попуне послате упитнике, односно да одговоре на анкету. </w:t>
      </w:r>
      <w:r w:rsidR="00CC7492" w:rsidRPr="001B4AF1">
        <w:rPr>
          <w:rFonts w:ascii="Times New Roman" w:hAnsi="Times New Roman" w:cs="Times New Roman"/>
        </w:rPr>
        <w:t>Зато треба мотивисти послодавце да се активније укључују у ове активности, тиме што ће се показати да се резултати ових анкета и њихово мишљење заиста вреднују и узимају у обзир при даљем раду и примени корективних мера. Резултати показују да поред знања послодавци очекују да инжењери поседују и вештине које су неопходнеу савременим токовима</w:t>
      </w:r>
      <w:r w:rsidR="00C31251" w:rsidRPr="001B4AF1">
        <w:rPr>
          <w:rFonts w:ascii="Times New Roman" w:hAnsi="Times New Roman" w:cs="Times New Roman"/>
        </w:rPr>
        <w:t xml:space="preserve"> и пословном окружењу</w:t>
      </w:r>
      <w:r w:rsidR="002964A3" w:rsidRPr="001B4AF1">
        <w:rPr>
          <w:rFonts w:ascii="Times New Roman" w:hAnsi="Times New Roman" w:cs="Times New Roman"/>
        </w:rPr>
        <w:t>.</w:t>
      </w:r>
    </w:p>
    <w:p w:rsidR="00B2050B" w:rsidRPr="001B4AF1" w:rsidRDefault="002F12BC" w:rsidP="001B4AF1">
      <w:pPr>
        <w:spacing w:after="120" w:line="276" w:lineRule="auto"/>
        <w:rPr>
          <w:rFonts w:ascii="Times New Roman" w:hAnsi="Times New Roman" w:cs="Times New Roman"/>
        </w:rPr>
      </w:pPr>
      <w:r w:rsidRPr="001B4AF1">
        <w:rPr>
          <w:rFonts w:ascii="Times New Roman" w:hAnsi="Times New Roman" w:cs="Times New Roman"/>
        </w:rPr>
        <w:tab/>
        <w:t xml:space="preserve">На основу мишљења пслодаваца јасно је да треба унапредити </w:t>
      </w:r>
      <w:r w:rsidRPr="001B4AF1">
        <w:rPr>
          <w:rFonts w:ascii="Times New Roman" w:hAnsi="Times New Roman" w:cs="Times New Roman"/>
          <w:szCs w:val="24"/>
        </w:rPr>
        <w:t>способност архитеката да решавају практичне проблеме, а то упућује на веће ангажовање наставника у пружању могућности за решавање практичних задатака</w:t>
      </w:r>
      <w:r w:rsidR="00CC7492" w:rsidRPr="001B4AF1">
        <w:rPr>
          <w:rFonts w:ascii="Times New Roman" w:hAnsi="Times New Roman" w:cs="Times New Roman"/>
        </w:rPr>
        <w:t>.</w:t>
      </w:r>
      <w:r w:rsidRPr="001B4AF1">
        <w:rPr>
          <w:rFonts w:ascii="Times New Roman" w:hAnsi="Times New Roman" w:cs="Times New Roman"/>
        </w:rPr>
        <w:t xml:space="preserve"> Ово свакако</w:t>
      </w:r>
      <w:r w:rsidR="00F51E9F" w:rsidRPr="001B4AF1">
        <w:rPr>
          <w:rFonts w:ascii="Times New Roman" w:hAnsi="Times New Roman" w:cs="Times New Roman"/>
        </w:rPr>
        <w:t xml:space="preserve"> </w:t>
      </w:r>
      <w:r w:rsidRPr="001B4AF1">
        <w:rPr>
          <w:rFonts w:ascii="Times New Roman" w:hAnsi="Times New Roman" w:cs="Times New Roman"/>
        </w:rPr>
        <w:t>треба размотрити иако се у току студирања захтева од студената веома често решавање реалних и конкретних проблема и то не</w:t>
      </w:r>
      <w:r w:rsidR="00491CC7" w:rsidRPr="001B4AF1">
        <w:rPr>
          <w:rFonts w:ascii="Times New Roman" w:hAnsi="Times New Roman" w:cs="Times New Roman"/>
        </w:rPr>
        <w:t xml:space="preserve"> </w:t>
      </w:r>
      <w:r w:rsidRPr="001B4AF1">
        <w:rPr>
          <w:rFonts w:ascii="Times New Roman" w:hAnsi="Times New Roman" w:cs="Times New Roman"/>
        </w:rPr>
        <w:t>само</w:t>
      </w:r>
      <w:r w:rsidR="00491CC7" w:rsidRPr="001B4AF1">
        <w:rPr>
          <w:rFonts w:ascii="Times New Roman" w:hAnsi="Times New Roman" w:cs="Times New Roman"/>
        </w:rPr>
        <w:t xml:space="preserve"> </w:t>
      </w:r>
      <w:r w:rsidRPr="001B4AF1">
        <w:rPr>
          <w:rFonts w:ascii="Times New Roman" w:hAnsi="Times New Roman" w:cs="Times New Roman"/>
        </w:rPr>
        <w:t>кроз учешће у студентским конкурсима.</w:t>
      </w:r>
      <w:r w:rsidR="00CC7492" w:rsidRPr="001B4AF1">
        <w:rPr>
          <w:rFonts w:ascii="Times New Roman" w:hAnsi="Times New Roman" w:cs="Times New Roman"/>
        </w:rPr>
        <w:t xml:space="preserve"> </w:t>
      </w:r>
    </w:p>
    <w:p w:rsidR="00776781" w:rsidRPr="001B4AF1" w:rsidRDefault="00776781" w:rsidP="001B4AF1">
      <w:pPr>
        <w:spacing w:after="120" w:line="276" w:lineRule="auto"/>
        <w:rPr>
          <w:rFonts w:ascii="Times New Roman" w:hAnsi="Times New Roman" w:cs="Times New Roman"/>
        </w:rPr>
      </w:pPr>
      <w:r w:rsidRPr="001B4AF1">
        <w:rPr>
          <w:rFonts w:ascii="Times New Roman" w:hAnsi="Times New Roman" w:cs="Times New Roman"/>
        </w:rPr>
        <w:tab/>
        <w:t>Такође, по мишљењу послодаваца, треба значајно унапредитии способност доношења одлука</w:t>
      </w:r>
      <w:r w:rsidR="00D8100B" w:rsidRPr="001B4AF1">
        <w:rPr>
          <w:rFonts w:ascii="Times New Roman" w:hAnsi="Times New Roman" w:cs="Times New Roman"/>
        </w:rPr>
        <w:t xml:space="preserve"> и за то је оцена најнижа. По овом питању вероватно треба мало комплексније сагледати проблем и делимично потражити разлоге и у окружењу у коме се нађу инжењери, с обзиром да на то утиче и</w:t>
      </w:r>
      <w:r w:rsidR="00712ADB" w:rsidRPr="001B4AF1">
        <w:rPr>
          <w:rFonts w:ascii="Times New Roman" w:hAnsi="Times New Roman" w:cs="Times New Roman"/>
        </w:rPr>
        <w:t xml:space="preserve"> </w:t>
      </w:r>
      <w:r w:rsidR="00D8100B" w:rsidRPr="001B4AF1">
        <w:rPr>
          <w:rFonts w:ascii="Times New Roman" w:hAnsi="Times New Roman" w:cs="Times New Roman"/>
        </w:rPr>
        <w:t xml:space="preserve">перцепција прихватања евентуално донетих одлука.  </w:t>
      </w:r>
      <w:r w:rsidRPr="001B4AF1">
        <w:rPr>
          <w:rFonts w:ascii="Times New Roman" w:hAnsi="Times New Roman" w:cs="Times New Roman"/>
        </w:rPr>
        <w:t xml:space="preserve"> </w:t>
      </w:r>
    </w:p>
    <w:p w:rsidR="00D04FDA" w:rsidRPr="001B4AF1" w:rsidRDefault="00D04FDA" w:rsidP="001B4AF1">
      <w:pPr>
        <w:spacing w:after="120" w:line="276" w:lineRule="auto"/>
        <w:rPr>
          <w:rFonts w:ascii="Times New Roman" w:hAnsi="Times New Roman" w:cs="Times New Roman"/>
        </w:rPr>
      </w:pPr>
      <w:r w:rsidRPr="001B4AF1">
        <w:rPr>
          <w:rFonts w:ascii="Times New Roman" w:hAnsi="Times New Roman" w:cs="Times New Roman"/>
        </w:rPr>
        <w:tab/>
        <w:t xml:space="preserve">Поред наведеног, послодавци очекују и израженију способност извршавања обавеза у траженом року. Ово је вероватно, између осталог, и последица темпа који се стално намеће. Иако студенти своје обавезе и на Факултету морају да извршавају у одговарајућем року и свесни су да и пословни задаци имају ограничен временски оквир, вероватно долази до прроблема када су рокови недовољно добро процењени. Осим тога, могуће је и да су очекивања од квалитетних и добрих инжењера архитектуре стално све већа. </w:t>
      </w:r>
    </w:p>
    <w:p w:rsidR="00FA0C2D" w:rsidRPr="001B4AF1" w:rsidRDefault="00FA0C2D" w:rsidP="001B4AF1">
      <w:pPr>
        <w:spacing w:after="120" w:line="276" w:lineRule="auto"/>
        <w:rPr>
          <w:rFonts w:ascii="Times New Roman" w:hAnsi="Times New Roman" w:cs="Times New Roman"/>
        </w:rPr>
      </w:pPr>
      <w:r w:rsidRPr="001B4AF1">
        <w:rPr>
          <w:rFonts w:ascii="Times New Roman" w:hAnsi="Times New Roman" w:cs="Times New Roman"/>
        </w:rPr>
        <w:tab/>
        <w:t>Када су у питању поштовање професионалне етике, способност за тимски рад, мотивисаност за стицање нових стручних знања и вештина, као и праћење технолошких иновација и стручне регулативе, послодавци су најзадовољнији</w:t>
      </w:r>
      <w:r w:rsidR="003A67BF" w:rsidRPr="001B4AF1">
        <w:rPr>
          <w:rFonts w:ascii="Times New Roman" w:hAnsi="Times New Roman" w:cs="Times New Roman"/>
        </w:rPr>
        <w:t>, што показује да инжењери архитектуре имају изузетне потенцијале да знања стално допуњују и усвајају нова сазнања. Оно што свакако треба истаћи је и да, по мишљењу послодаваца, професијонално обављају посао уз поштовање професионалне етике. То указује да су током студирања, у оквиру студијског програма, осим неопходног знања добили и добре основе да се и даље професионално изграђују</w:t>
      </w:r>
      <w:r w:rsidR="002C2AAD" w:rsidRPr="001B4AF1">
        <w:rPr>
          <w:rFonts w:ascii="Times New Roman" w:hAnsi="Times New Roman" w:cs="Times New Roman"/>
        </w:rPr>
        <w:t>, тако да у оквиру студијских програма треба и даље неговати овакав приступ</w:t>
      </w:r>
      <w:r w:rsidR="003A67BF" w:rsidRPr="001B4AF1">
        <w:rPr>
          <w:rFonts w:ascii="Times New Roman" w:hAnsi="Times New Roman" w:cs="Times New Roman"/>
        </w:rPr>
        <w:t xml:space="preserve">. </w:t>
      </w:r>
      <w:r w:rsidRPr="001B4AF1">
        <w:rPr>
          <w:rFonts w:ascii="Times New Roman" w:hAnsi="Times New Roman" w:cs="Times New Roman"/>
        </w:rPr>
        <w:t xml:space="preserve"> </w:t>
      </w:r>
    </w:p>
    <w:p w:rsidR="00236D3E" w:rsidRPr="001B4AF1" w:rsidRDefault="00236D3E" w:rsidP="001B4AF1">
      <w:pPr>
        <w:spacing w:after="0" w:line="276" w:lineRule="auto"/>
        <w:rPr>
          <w:rFonts w:ascii="Times New Roman" w:hAnsi="Times New Roman" w:cs="Times New Roman"/>
        </w:rPr>
      </w:pPr>
    </w:p>
    <w:sectPr w:rsidR="00236D3E" w:rsidRPr="001B4AF1" w:rsidSect="00BD6BA1">
      <w:pgSz w:w="11909" w:h="16834" w:code="9"/>
      <w:pgMar w:top="1440" w:right="720" w:bottom="129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AF5616"/>
    <w:rsid w:val="0000277C"/>
    <w:rsid w:val="00010A0C"/>
    <w:rsid w:val="00014521"/>
    <w:rsid w:val="000212BA"/>
    <w:rsid w:val="00047628"/>
    <w:rsid w:val="000D230C"/>
    <w:rsid w:val="000D458E"/>
    <w:rsid w:val="000E4D75"/>
    <w:rsid w:val="000F14CC"/>
    <w:rsid w:val="000F3B12"/>
    <w:rsid w:val="001B4AF1"/>
    <w:rsid w:val="001C3D56"/>
    <w:rsid w:val="001F23C6"/>
    <w:rsid w:val="001F4480"/>
    <w:rsid w:val="00206D57"/>
    <w:rsid w:val="00211FD8"/>
    <w:rsid w:val="002171B9"/>
    <w:rsid w:val="002349AB"/>
    <w:rsid w:val="00236D3E"/>
    <w:rsid w:val="00256482"/>
    <w:rsid w:val="00257036"/>
    <w:rsid w:val="00277B2A"/>
    <w:rsid w:val="002964A3"/>
    <w:rsid w:val="002B7136"/>
    <w:rsid w:val="002C2AAD"/>
    <w:rsid w:val="002D0FA5"/>
    <w:rsid w:val="002D6D53"/>
    <w:rsid w:val="002D7461"/>
    <w:rsid w:val="002F12BC"/>
    <w:rsid w:val="00353877"/>
    <w:rsid w:val="00375010"/>
    <w:rsid w:val="0038612B"/>
    <w:rsid w:val="003A67BF"/>
    <w:rsid w:val="003C605A"/>
    <w:rsid w:val="00491CC7"/>
    <w:rsid w:val="004B558F"/>
    <w:rsid w:val="00503397"/>
    <w:rsid w:val="005046EE"/>
    <w:rsid w:val="00553954"/>
    <w:rsid w:val="0055460C"/>
    <w:rsid w:val="005A6B17"/>
    <w:rsid w:val="005B31D3"/>
    <w:rsid w:val="005E12C4"/>
    <w:rsid w:val="00602B18"/>
    <w:rsid w:val="00664C65"/>
    <w:rsid w:val="00671CF8"/>
    <w:rsid w:val="00675053"/>
    <w:rsid w:val="00687C59"/>
    <w:rsid w:val="006A55B4"/>
    <w:rsid w:val="006B04FD"/>
    <w:rsid w:val="00701AB0"/>
    <w:rsid w:val="00712ADB"/>
    <w:rsid w:val="00712EEC"/>
    <w:rsid w:val="00757E10"/>
    <w:rsid w:val="00776781"/>
    <w:rsid w:val="0079343F"/>
    <w:rsid w:val="007A4223"/>
    <w:rsid w:val="007C2A60"/>
    <w:rsid w:val="007D295D"/>
    <w:rsid w:val="007E051E"/>
    <w:rsid w:val="007F2FDF"/>
    <w:rsid w:val="0080416A"/>
    <w:rsid w:val="0080486F"/>
    <w:rsid w:val="008064D5"/>
    <w:rsid w:val="008443D6"/>
    <w:rsid w:val="008520FD"/>
    <w:rsid w:val="00854091"/>
    <w:rsid w:val="00890AAC"/>
    <w:rsid w:val="008D2B95"/>
    <w:rsid w:val="008E3D74"/>
    <w:rsid w:val="00900CE5"/>
    <w:rsid w:val="00923738"/>
    <w:rsid w:val="009362DF"/>
    <w:rsid w:val="00940EB2"/>
    <w:rsid w:val="00942768"/>
    <w:rsid w:val="00947864"/>
    <w:rsid w:val="009527ED"/>
    <w:rsid w:val="00975833"/>
    <w:rsid w:val="009A07C1"/>
    <w:rsid w:val="009F36BF"/>
    <w:rsid w:val="00A30447"/>
    <w:rsid w:val="00A4473B"/>
    <w:rsid w:val="00A67CF8"/>
    <w:rsid w:val="00AA7EC7"/>
    <w:rsid w:val="00AD3941"/>
    <w:rsid w:val="00AE6B9C"/>
    <w:rsid w:val="00AF5616"/>
    <w:rsid w:val="00B04598"/>
    <w:rsid w:val="00B2050B"/>
    <w:rsid w:val="00B37A71"/>
    <w:rsid w:val="00BA5F69"/>
    <w:rsid w:val="00BB0233"/>
    <w:rsid w:val="00BD0DE1"/>
    <w:rsid w:val="00BD6BA1"/>
    <w:rsid w:val="00BE043B"/>
    <w:rsid w:val="00BE1B9E"/>
    <w:rsid w:val="00BE5538"/>
    <w:rsid w:val="00BF787F"/>
    <w:rsid w:val="00C03585"/>
    <w:rsid w:val="00C10696"/>
    <w:rsid w:val="00C21656"/>
    <w:rsid w:val="00C31251"/>
    <w:rsid w:val="00C55070"/>
    <w:rsid w:val="00C62964"/>
    <w:rsid w:val="00CB4E48"/>
    <w:rsid w:val="00CC7492"/>
    <w:rsid w:val="00D04FDA"/>
    <w:rsid w:val="00D06111"/>
    <w:rsid w:val="00D15B2B"/>
    <w:rsid w:val="00D44647"/>
    <w:rsid w:val="00D5492A"/>
    <w:rsid w:val="00D61604"/>
    <w:rsid w:val="00D76533"/>
    <w:rsid w:val="00D8100B"/>
    <w:rsid w:val="00D83A52"/>
    <w:rsid w:val="00DA755E"/>
    <w:rsid w:val="00DB1B57"/>
    <w:rsid w:val="00DE3BA1"/>
    <w:rsid w:val="00E01EEA"/>
    <w:rsid w:val="00E15149"/>
    <w:rsid w:val="00E43C5E"/>
    <w:rsid w:val="00E628AC"/>
    <w:rsid w:val="00E7041A"/>
    <w:rsid w:val="00EA193E"/>
    <w:rsid w:val="00EE1BDE"/>
    <w:rsid w:val="00EF3ECE"/>
    <w:rsid w:val="00F320C2"/>
    <w:rsid w:val="00F356FF"/>
    <w:rsid w:val="00F41BC2"/>
    <w:rsid w:val="00F51E9F"/>
    <w:rsid w:val="00F62B25"/>
    <w:rsid w:val="00F649E4"/>
    <w:rsid w:val="00F71E9E"/>
    <w:rsid w:val="00F84FF9"/>
    <w:rsid w:val="00FA0C2D"/>
    <w:rsid w:val="00FB1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616"/>
    <w:pPr>
      <w:autoSpaceDE w:val="0"/>
      <w:autoSpaceDN w:val="0"/>
      <w:adjustRightInd w:val="0"/>
      <w:spacing w:after="0"/>
      <w:ind w:left="0" w:firstLine="0"/>
      <w:jc w:val="left"/>
    </w:pPr>
    <w:rPr>
      <w:rFonts w:ascii="Times New Roman" w:hAnsi="Times New Roman" w:cs="Times New Roman"/>
      <w:color w:val="000000"/>
      <w:sz w:val="24"/>
      <w:szCs w:val="24"/>
    </w:rPr>
  </w:style>
  <w:style w:type="table" w:styleId="TableGrid">
    <w:name w:val="Table Grid"/>
    <w:basedOn w:val="TableNormal"/>
    <w:uiPriority w:val="59"/>
    <w:rsid w:val="00BA5F6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6B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A1"/>
    <w:rPr>
      <w:rFonts w:ascii="Tahoma" w:hAnsi="Tahoma" w:cs="Tahoma"/>
      <w:sz w:val="16"/>
      <w:szCs w:val="16"/>
    </w:rPr>
  </w:style>
  <w:style w:type="paragraph" w:styleId="NormalWeb">
    <w:name w:val="Normal (Web)"/>
    <w:basedOn w:val="Normal"/>
    <w:uiPriority w:val="99"/>
    <w:semiHidden/>
    <w:unhideWhenUsed/>
    <w:rsid w:val="0080486F"/>
    <w:pPr>
      <w:spacing w:before="100" w:beforeAutospacing="1" w:after="100" w:afterAutospacing="1"/>
      <w:ind w:left="0" w:firstLine="0"/>
      <w:jc w:val="left"/>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60"/>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616"/>
    <w:pPr>
      <w:autoSpaceDE w:val="0"/>
      <w:autoSpaceDN w:val="0"/>
      <w:adjustRightInd w:val="0"/>
      <w:spacing w:after="0"/>
      <w:ind w:left="0" w:firstLine="0"/>
      <w:jc w:val="left"/>
    </w:pPr>
    <w:rPr>
      <w:rFonts w:ascii="Times New Roman" w:hAnsi="Times New Roman" w:cs="Times New Roman"/>
      <w:color w:val="000000"/>
      <w:sz w:val="24"/>
      <w:szCs w:val="24"/>
    </w:rPr>
  </w:style>
  <w:style w:type="table" w:styleId="TableGrid">
    <w:name w:val="Table Grid"/>
    <w:basedOn w:val="TableNormal"/>
    <w:uiPriority w:val="59"/>
    <w:rsid w:val="00BA5F6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6B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A1"/>
    <w:rPr>
      <w:rFonts w:ascii="Tahoma" w:hAnsi="Tahoma" w:cs="Tahoma"/>
      <w:sz w:val="16"/>
      <w:szCs w:val="16"/>
    </w:rPr>
  </w:style>
  <w:style w:type="paragraph" w:styleId="NormalWeb">
    <w:name w:val="Normal (Web)"/>
    <w:basedOn w:val="Normal"/>
    <w:uiPriority w:val="99"/>
    <w:semiHidden/>
    <w:unhideWhenUsed/>
    <w:rsid w:val="0080486F"/>
    <w:pPr>
      <w:spacing w:before="100" w:beforeAutospacing="1" w:after="100" w:afterAutospacing="1"/>
      <w:ind w:left="0" w:firstLine="0"/>
      <w:jc w:val="left"/>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5666904">
      <w:bodyDiv w:val="1"/>
      <w:marLeft w:val="0"/>
      <w:marRight w:val="0"/>
      <w:marTop w:val="0"/>
      <w:marBottom w:val="0"/>
      <w:divBdr>
        <w:top w:val="none" w:sz="0" w:space="0" w:color="auto"/>
        <w:left w:val="none" w:sz="0" w:space="0" w:color="auto"/>
        <w:bottom w:val="none" w:sz="0" w:space="0" w:color="auto"/>
        <w:right w:val="none" w:sz="0" w:space="0" w:color="auto"/>
      </w:divBdr>
    </w:div>
    <w:div w:id="18567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fontTable" Target="fontTable.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Office_Excel_Worksheet9.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Jelena\Akreditacija\AKREDITACIJA\Izvestaj\Nova%20Anketa%20nastavno%202016%20sa%20grafikoima5%20-%20Copy%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Office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Office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Office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Office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Arh.</a:t>
            </a:r>
          </a:p>
        </c:rich>
      </c:tx>
      <c:layout>
        <c:manualLayout>
          <c:xMode val="edge"/>
          <c:yMode val="edge"/>
          <c:x val="0.83923853043549734"/>
          <c:y val="3.7593984962406013E-2"/>
        </c:manualLayout>
      </c:layout>
    </c:title>
    <c:view3D>
      <c:rotX val="30"/>
      <c:perspective val="30"/>
    </c:view3D>
    <c:plotArea>
      <c:layout>
        <c:manualLayout>
          <c:layoutTarget val="inner"/>
          <c:xMode val="edge"/>
          <c:yMode val="edge"/>
          <c:x val="8.7763865582376782E-2"/>
          <c:y val="0.24323636628754741"/>
          <c:w val="0.74782066176154205"/>
          <c:h val="0.64767096821230674"/>
        </c:manualLayout>
      </c:layout>
      <c:pie3DChart>
        <c:varyColors val="1"/>
        <c:ser>
          <c:idx val="0"/>
          <c:order val="0"/>
          <c:tx>
            <c:v>Pitanje 1. Arh.</c:v>
          </c:tx>
          <c:explosion val="25"/>
          <c:dLbls>
            <c:txPr>
              <a:bodyPr/>
              <a:lstStyle/>
              <a:p>
                <a:pPr>
                  <a:defRPr sz="1400"/>
                </a:pPr>
                <a:endParaRPr lang="en-US"/>
              </a:p>
            </c:txPr>
            <c:showVal val="1"/>
            <c:showLeaderLines val="1"/>
          </c:dLbls>
          <c:val>
            <c:numRef>
              <c:f>Sheet1!$B$7:$F$7</c:f>
              <c:numCache>
                <c:formatCode>0.00%</c:formatCode>
                <c:ptCount val="5"/>
                <c:pt idx="0">
                  <c:v>0.14285714285714399</c:v>
                </c:pt>
                <c:pt idx="1">
                  <c:v>0.42857142857142855</c:v>
                </c:pt>
                <c:pt idx="2">
                  <c:v>0.28571428571428786</c:v>
                </c:pt>
                <c:pt idx="3">
                  <c:v>0</c:v>
                </c:pt>
                <c:pt idx="4">
                  <c:v>0.14285714285714399</c:v>
                </c:pt>
              </c:numCache>
            </c:numRef>
          </c:val>
        </c:ser>
      </c:pie3DChart>
    </c:plotArea>
    <c:legend>
      <c:legendPos val="r"/>
      <c:layout>
        <c:manualLayout>
          <c:xMode val="edge"/>
          <c:yMode val="edge"/>
          <c:x val="0.84138117981153959"/>
          <c:y val="0.30222331583552081"/>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Arh.</a:t>
            </a:r>
          </a:p>
        </c:rich>
      </c:tx>
      <c:layout>
        <c:manualLayout>
          <c:xMode val="edge"/>
          <c:yMode val="edge"/>
          <c:x val="0.84149590950254061"/>
          <c:y val="6.0185185185185147E-2"/>
        </c:manualLayout>
      </c:layout>
    </c:title>
    <c:view3D>
      <c:rotX val="30"/>
      <c:rotY val="30"/>
      <c:perspective val="10"/>
    </c:view3D>
    <c:plotArea>
      <c:layout>
        <c:manualLayout>
          <c:layoutTarget val="inner"/>
          <c:xMode val="edge"/>
          <c:yMode val="edge"/>
          <c:x val="8.7763865582376782E-2"/>
          <c:y val="0.24323636628754741"/>
          <c:w val="0.74782066176154205"/>
          <c:h val="0.64767096821230674"/>
        </c:manualLayout>
      </c:layout>
      <c:pie3DChart>
        <c:varyColors val="1"/>
        <c:ser>
          <c:idx val="0"/>
          <c:order val="0"/>
          <c:explosion val="25"/>
          <c:dLbls>
            <c:dLbl>
              <c:idx val="0"/>
              <c:layout>
                <c:manualLayout>
                  <c:x val="-0.10951452091215935"/>
                  <c:y val="-6.4349664625255182E-2"/>
                </c:manualLayout>
              </c:layout>
              <c:showVal val="1"/>
              <c:showCatName val="1"/>
            </c:dLbl>
            <c:dLbl>
              <c:idx val="2"/>
              <c:layout>
                <c:manualLayout>
                  <c:x val="-0.24724204928929469"/>
                  <c:y val="-0.11227508019830855"/>
                </c:manualLayout>
              </c:layout>
              <c:showVal val="1"/>
              <c:showCatName val="1"/>
            </c:dLbl>
            <c:dLbl>
              <c:idx val="3"/>
              <c:layout>
                <c:manualLayout>
                  <c:x val="0.20831986910727188"/>
                  <c:y val="-0.15146653543307176"/>
                </c:manualLayout>
              </c:layout>
              <c:showVal val="1"/>
              <c:showCatName val="1"/>
            </c:dLbl>
            <c:dLbl>
              <c:idx val="4"/>
              <c:layout>
                <c:manualLayout>
                  <c:x val="0.15010200429491768"/>
                  <c:y val="0.16163932633420822"/>
                </c:manualLayout>
              </c:layout>
              <c:showVal val="1"/>
              <c:showCatName val="1"/>
            </c:dLbl>
            <c:txPr>
              <a:bodyPr/>
              <a:lstStyle/>
              <a:p>
                <a:pPr>
                  <a:defRPr sz="1400"/>
                </a:pPr>
                <a:endParaRPr lang="en-US"/>
              </a:p>
            </c:txPr>
            <c:showVal val="1"/>
            <c:showCatName val="1"/>
            <c:showLeaderLines val="1"/>
          </c:dLbls>
          <c:val>
            <c:numRef>
              <c:f>Sheet1!$B$16:$F$16</c:f>
              <c:numCache>
                <c:formatCode>0.00%</c:formatCode>
                <c:ptCount val="5"/>
                <c:pt idx="0">
                  <c:v>0</c:v>
                </c:pt>
                <c:pt idx="1">
                  <c:v>0</c:v>
                </c:pt>
                <c:pt idx="2">
                  <c:v>0.42857142857142855</c:v>
                </c:pt>
                <c:pt idx="3">
                  <c:v>0.28571428571428786</c:v>
                </c:pt>
                <c:pt idx="4">
                  <c:v>0.28571428571428786</c:v>
                </c:pt>
              </c:numCache>
            </c:numRef>
          </c:val>
        </c:ser>
      </c:pie3DChart>
    </c:plotArea>
    <c:legend>
      <c:legendPos val="r"/>
      <c:layout>
        <c:manualLayout>
          <c:xMode val="edge"/>
          <c:yMode val="edge"/>
          <c:x val="0.84138117981153959"/>
          <c:y val="0.30222331583552081"/>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Arh.</a:t>
            </a:r>
          </a:p>
        </c:rich>
      </c:tx>
      <c:layout>
        <c:manualLayout>
          <c:xMode val="edge"/>
          <c:yMode val="edge"/>
          <c:x val="0.81651471197679237"/>
          <c:y val="3.7037037037037056E-2"/>
        </c:manualLayout>
      </c:layout>
    </c:title>
    <c:view3D>
      <c:rotX val="30"/>
      <c:rotY val="30"/>
      <c:perspective val="10"/>
    </c:view3D>
    <c:plotArea>
      <c:layout>
        <c:manualLayout>
          <c:layoutTarget val="inner"/>
          <c:xMode val="edge"/>
          <c:yMode val="edge"/>
          <c:x val="8.7763865582376782E-2"/>
          <c:y val="0.24323636628754741"/>
          <c:w val="0.74782066176154205"/>
          <c:h val="0.64767096821230674"/>
        </c:manualLayout>
      </c:layout>
      <c:pie3DChart>
        <c:varyColors val="1"/>
        <c:ser>
          <c:idx val="0"/>
          <c:order val="0"/>
          <c:explosion val="25"/>
          <c:dLbls>
            <c:dLbl>
              <c:idx val="0"/>
              <c:layout>
                <c:manualLayout>
                  <c:x val="8.7508947745168226E-4"/>
                  <c:y val="6.5279965004374385E-2"/>
                </c:manualLayout>
              </c:layout>
              <c:showVal val="1"/>
              <c:showCatName val="1"/>
            </c:dLbl>
            <c:dLbl>
              <c:idx val="1"/>
              <c:layout>
                <c:manualLayout>
                  <c:x val="-0.17685435627364762"/>
                  <c:y val="-0.23528980752405948"/>
                </c:manualLayout>
              </c:layout>
              <c:showVal val="1"/>
              <c:showCatName val="1"/>
            </c:dLbl>
            <c:dLbl>
              <c:idx val="2"/>
              <c:layout>
                <c:manualLayout>
                  <c:x val="1.6233766233766243E-2"/>
                  <c:y val="5.4391586468358122E-2"/>
                </c:manualLayout>
              </c:layout>
              <c:showVal val="1"/>
              <c:showCatName val="1"/>
            </c:dLbl>
            <c:dLbl>
              <c:idx val="3"/>
              <c:layout>
                <c:manualLayout>
                  <c:x val="0.14663155741895867"/>
                  <c:y val="0.15451042578011182"/>
                </c:manualLayout>
              </c:layout>
              <c:showVal val="1"/>
              <c:showCatName val="1"/>
            </c:dLbl>
            <c:dLbl>
              <c:idx val="4"/>
              <c:layout>
                <c:manualLayout>
                  <c:x val="-0.14210578791287454"/>
                  <c:y val="-4.6694006999125112E-2"/>
                </c:manualLayout>
              </c:layout>
              <c:showVal val="1"/>
              <c:showCatName val="1"/>
            </c:dLbl>
            <c:txPr>
              <a:bodyPr/>
              <a:lstStyle/>
              <a:p>
                <a:pPr>
                  <a:defRPr sz="1400"/>
                </a:pPr>
                <a:endParaRPr lang="en-US"/>
              </a:p>
            </c:txPr>
            <c:showVal val="1"/>
            <c:showCatName val="1"/>
            <c:showLeaderLines val="1"/>
          </c:dLbls>
          <c:val>
            <c:numRef>
              <c:f>Sheet1!$B$17:$F$17</c:f>
              <c:numCache>
                <c:formatCode>0.00%</c:formatCode>
                <c:ptCount val="5"/>
                <c:pt idx="0">
                  <c:v>0</c:v>
                </c:pt>
                <c:pt idx="1">
                  <c:v>0.66666666666666663</c:v>
                </c:pt>
                <c:pt idx="2">
                  <c:v>0</c:v>
                </c:pt>
                <c:pt idx="3">
                  <c:v>0.33333333333333331</c:v>
                </c:pt>
                <c:pt idx="4">
                  <c:v>0</c:v>
                </c:pt>
              </c:numCache>
            </c:numRef>
          </c:val>
        </c:ser>
      </c:pie3DChart>
    </c:plotArea>
    <c:legend>
      <c:legendPos val="r"/>
      <c:layout>
        <c:manualLayout>
          <c:xMode val="edge"/>
          <c:yMode val="edge"/>
          <c:x val="0.84138117981153959"/>
          <c:y val="0.30222331583552081"/>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Arh.</a:t>
            </a:r>
          </a:p>
        </c:rich>
      </c:tx>
      <c:layout>
        <c:manualLayout>
          <c:xMode val="edge"/>
          <c:yMode val="edge"/>
          <c:x val="0.84073255462950525"/>
          <c:y val="6.4814814814815283E-2"/>
        </c:manualLayout>
      </c:layout>
    </c:title>
    <c:view3D>
      <c:rotX val="30"/>
      <c:rotY val="10"/>
      <c:perspective val="10"/>
    </c:view3D>
    <c:plotArea>
      <c:layout>
        <c:manualLayout>
          <c:layoutTarget val="inner"/>
          <c:xMode val="edge"/>
          <c:yMode val="edge"/>
          <c:x val="8.7763865582376782E-2"/>
          <c:y val="0.24323636628754741"/>
          <c:w val="0.74782066176154205"/>
          <c:h val="0.64767096821230674"/>
        </c:manualLayout>
      </c:layout>
      <c:pie3DChart>
        <c:varyColors val="1"/>
        <c:ser>
          <c:idx val="0"/>
          <c:order val="0"/>
          <c:explosion val="25"/>
          <c:dLbls>
            <c:txPr>
              <a:bodyPr/>
              <a:lstStyle/>
              <a:p>
                <a:pPr>
                  <a:defRPr sz="1400"/>
                </a:pPr>
                <a:endParaRPr lang="en-US"/>
              </a:p>
            </c:txPr>
            <c:showVal val="1"/>
            <c:showLeaderLines val="1"/>
          </c:dLbls>
          <c:val>
            <c:numRef>
              <c:f>Sheet1!$B$8:$F$8</c:f>
              <c:numCache>
                <c:formatCode>0.00%</c:formatCode>
                <c:ptCount val="5"/>
                <c:pt idx="0">
                  <c:v>0.28571428571428786</c:v>
                </c:pt>
                <c:pt idx="1">
                  <c:v>0.28571428571428786</c:v>
                </c:pt>
                <c:pt idx="2">
                  <c:v>0.28571428571428786</c:v>
                </c:pt>
                <c:pt idx="3">
                  <c:v>0.14285714285714399</c:v>
                </c:pt>
                <c:pt idx="4">
                  <c:v>0</c:v>
                </c:pt>
              </c:numCache>
            </c:numRef>
          </c:val>
        </c:ser>
      </c:pie3DChart>
    </c:plotArea>
    <c:legend>
      <c:legendPos val="r"/>
      <c:layout>
        <c:manualLayout>
          <c:xMode val="edge"/>
          <c:yMode val="edge"/>
          <c:x val="0.84138117981153959"/>
          <c:y val="0.30222331583552081"/>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Arh.</a:t>
            </a:r>
          </a:p>
        </c:rich>
      </c:tx>
      <c:layout>
        <c:manualLayout>
          <c:xMode val="edge"/>
          <c:yMode val="edge"/>
          <c:x val="0.83591034171575629"/>
          <c:y val="4.3492695883134591E-2"/>
        </c:manualLayout>
      </c:layout>
    </c:title>
    <c:view3D>
      <c:rotX val="30"/>
      <c:rotY val="40"/>
      <c:perspective val="10"/>
    </c:view3D>
    <c:plotArea>
      <c:layout>
        <c:manualLayout>
          <c:layoutTarget val="inner"/>
          <c:xMode val="edge"/>
          <c:yMode val="edge"/>
          <c:x val="8.7763865582376782E-2"/>
          <c:y val="0.24323636628754741"/>
          <c:w val="0.74782066176154205"/>
          <c:h val="0.64767096821230674"/>
        </c:manualLayout>
      </c:layout>
      <c:pie3DChart>
        <c:varyColors val="1"/>
        <c:ser>
          <c:idx val="0"/>
          <c:order val="0"/>
          <c:explosion val="25"/>
          <c:dLbls>
            <c:dLbl>
              <c:idx val="1"/>
              <c:layout>
                <c:manualLayout>
                  <c:x val="-0.15305486054897344"/>
                  <c:y val="3.5968862705111501E-2"/>
                </c:manualLayout>
              </c:layout>
              <c:showVal val="1"/>
            </c:dLbl>
            <c:dLbl>
              <c:idx val="2"/>
              <c:layout>
                <c:manualLayout>
                  <c:x val="-0.17053959084553691"/>
                  <c:y val="-0.12562973243452483"/>
                </c:manualLayout>
              </c:layout>
              <c:showVal val="1"/>
            </c:dLbl>
            <c:txPr>
              <a:bodyPr/>
              <a:lstStyle/>
              <a:p>
                <a:pPr>
                  <a:defRPr sz="1400"/>
                </a:pPr>
                <a:endParaRPr lang="en-US"/>
              </a:p>
            </c:txPr>
            <c:showVal val="1"/>
            <c:showLeaderLines val="1"/>
          </c:dLbls>
          <c:val>
            <c:numRef>
              <c:f>Sheet1!$B$9:$F$9</c:f>
              <c:numCache>
                <c:formatCode>0.00%</c:formatCode>
                <c:ptCount val="5"/>
                <c:pt idx="0">
                  <c:v>0</c:v>
                </c:pt>
                <c:pt idx="1">
                  <c:v>0.14285714285714399</c:v>
                </c:pt>
                <c:pt idx="2">
                  <c:v>0.14285714285714399</c:v>
                </c:pt>
                <c:pt idx="3">
                  <c:v>0.57142857142857573</c:v>
                </c:pt>
                <c:pt idx="4">
                  <c:v>0.14285714285714399</c:v>
                </c:pt>
              </c:numCache>
            </c:numRef>
          </c:val>
        </c:ser>
      </c:pie3DChart>
    </c:plotArea>
    <c:legend>
      <c:legendPos val="r"/>
      <c:layout>
        <c:manualLayout>
          <c:xMode val="edge"/>
          <c:yMode val="edge"/>
          <c:x val="0.84138117981153959"/>
          <c:y val="0.30222331583552081"/>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Arh.</a:t>
            </a:r>
          </a:p>
        </c:rich>
      </c:tx>
      <c:layout>
        <c:manualLayout>
          <c:xMode val="edge"/>
          <c:yMode val="edge"/>
          <c:x val="0.83521098324247933"/>
          <c:y val="3.3475783475783671E-2"/>
        </c:manualLayout>
      </c:layout>
    </c:title>
    <c:view3D>
      <c:rotX val="30"/>
      <c:rotY val="40"/>
      <c:perspective val="10"/>
    </c:view3D>
    <c:plotArea>
      <c:layout>
        <c:manualLayout>
          <c:layoutTarget val="inner"/>
          <c:xMode val="edge"/>
          <c:yMode val="edge"/>
          <c:x val="8.7763865582376782E-2"/>
          <c:y val="0.24323636628754741"/>
          <c:w val="0.74782066176154205"/>
          <c:h val="0.64767096821230674"/>
        </c:manualLayout>
      </c:layout>
      <c:pie3DChart>
        <c:varyColors val="1"/>
        <c:ser>
          <c:idx val="0"/>
          <c:order val="0"/>
          <c:explosion val="25"/>
          <c:dLbls>
            <c:dLbl>
              <c:idx val="1"/>
              <c:layout>
                <c:manualLayout>
                  <c:x val="-0.16023463168798821"/>
                  <c:y val="3.4627947966358291E-2"/>
                </c:manualLayout>
              </c:layout>
              <c:showVal val="1"/>
            </c:dLbl>
            <c:dLbl>
              <c:idx val="4"/>
              <c:layout>
                <c:manualLayout>
                  <c:x val="-0.10461827864737247"/>
                  <c:y val="7.5446385807613522E-2"/>
                </c:manualLayout>
              </c:layout>
              <c:showVal val="1"/>
            </c:dLbl>
            <c:txPr>
              <a:bodyPr/>
              <a:lstStyle/>
              <a:p>
                <a:pPr>
                  <a:defRPr sz="1400"/>
                </a:pPr>
                <a:endParaRPr lang="en-US"/>
              </a:p>
            </c:txPr>
            <c:showVal val="1"/>
            <c:showLeaderLines val="1"/>
          </c:dLbls>
          <c:val>
            <c:numRef>
              <c:f>Sheet1!$B$10:$F$10</c:f>
              <c:numCache>
                <c:formatCode>0.00%</c:formatCode>
                <c:ptCount val="5"/>
                <c:pt idx="0">
                  <c:v>0</c:v>
                </c:pt>
                <c:pt idx="1">
                  <c:v>0.14285714285714399</c:v>
                </c:pt>
                <c:pt idx="2">
                  <c:v>0.42857142857142855</c:v>
                </c:pt>
                <c:pt idx="3">
                  <c:v>0.28571428571428786</c:v>
                </c:pt>
                <c:pt idx="4">
                  <c:v>0.14285714285714399</c:v>
                </c:pt>
              </c:numCache>
            </c:numRef>
          </c:val>
        </c:ser>
      </c:pie3DChart>
    </c:plotArea>
    <c:legend>
      <c:legendPos val="r"/>
      <c:layout>
        <c:manualLayout>
          <c:xMode val="edge"/>
          <c:yMode val="edge"/>
          <c:x val="0.84138117050272554"/>
          <c:y val="0.38769320501603965"/>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a:t>
            </a:r>
            <a:r>
              <a:rPr lang="en-US" sz="1600"/>
              <a:t>Arh.</a:t>
            </a:r>
          </a:p>
        </c:rich>
      </c:tx>
      <c:layout>
        <c:manualLayout>
          <c:xMode val="edge"/>
          <c:yMode val="edge"/>
          <c:x val="0.7951346359482846"/>
          <c:y val="4.6296296296296523E-2"/>
        </c:manualLayout>
      </c:layout>
    </c:title>
    <c:view3D>
      <c:rotX val="30"/>
      <c:rotY val="350"/>
      <c:perspective val="10"/>
    </c:view3D>
    <c:plotArea>
      <c:layout>
        <c:manualLayout>
          <c:layoutTarget val="inner"/>
          <c:xMode val="edge"/>
          <c:yMode val="edge"/>
          <c:x val="8.7763865582376782E-2"/>
          <c:y val="0.24323636628754741"/>
          <c:w val="0.74782066176154205"/>
          <c:h val="0.64767096821230674"/>
        </c:manualLayout>
      </c:layout>
      <c:pie3DChart>
        <c:varyColors val="1"/>
        <c:ser>
          <c:idx val="0"/>
          <c:order val="0"/>
          <c:explosion val="25"/>
          <c:dLbls>
            <c:dLbl>
              <c:idx val="2"/>
              <c:layout>
                <c:manualLayout>
                  <c:x val="-0.14854244914301062"/>
                  <c:y val="5.7322461026891921E-3"/>
                </c:manualLayout>
              </c:layout>
              <c:showVal val="1"/>
            </c:dLbl>
            <c:txPr>
              <a:bodyPr/>
              <a:lstStyle/>
              <a:p>
                <a:pPr>
                  <a:defRPr sz="1400"/>
                </a:pPr>
                <a:endParaRPr lang="en-US"/>
              </a:p>
            </c:txPr>
            <c:showVal val="1"/>
            <c:showLeaderLines val="1"/>
          </c:dLbls>
          <c:val>
            <c:numRef>
              <c:f>Sheet1!$B$11:$F$11</c:f>
              <c:numCache>
                <c:formatCode>0.00%</c:formatCode>
                <c:ptCount val="5"/>
                <c:pt idx="0">
                  <c:v>0.14285714285714399</c:v>
                </c:pt>
                <c:pt idx="1">
                  <c:v>0</c:v>
                </c:pt>
                <c:pt idx="2">
                  <c:v>0.14285714285714399</c:v>
                </c:pt>
                <c:pt idx="3">
                  <c:v>0.57142857142857573</c:v>
                </c:pt>
                <c:pt idx="4">
                  <c:v>0.14285714285714399</c:v>
                </c:pt>
              </c:numCache>
            </c:numRef>
          </c:val>
        </c:ser>
      </c:pie3DChart>
    </c:plotArea>
    <c:legend>
      <c:legendPos val="r"/>
      <c:layout>
        <c:manualLayout>
          <c:xMode val="edge"/>
          <c:yMode val="edge"/>
          <c:x val="0.84138117981153959"/>
          <c:y val="0.30222331583552081"/>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Arh.</a:t>
            </a:r>
          </a:p>
        </c:rich>
      </c:tx>
      <c:layout>
        <c:manualLayout>
          <c:xMode val="edge"/>
          <c:yMode val="edge"/>
          <c:x val="0.81799051434360548"/>
          <c:y val="8.7962962962963548E-2"/>
        </c:manualLayout>
      </c:layout>
    </c:title>
    <c:view3D>
      <c:rotX val="40"/>
      <c:rotY val="40"/>
      <c:perspective val="30"/>
    </c:view3D>
    <c:plotArea>
      <c:layout>
        <c:manualLayout>
          <c:layoutTarget val="inner"/>
          <c:xMode val="edge"/>
          <c:yMode val="edge"/>
          <c:x val="9.1010583904284695E-2"/>
          <c:y val="0.21545858850977062"/>
          <c:w val="0.74782066176154205"/>
          <c:h val="0.64767096821230674"/>
        </c:manualLayout>
      </c:layout>
      <c:pie3DChart>
        <c:varyColors val="1"/>
        <c:ser>
          <c:idx val="0"/>
          <c:order val="0"/>
          <c:explosion val="25"/>
          <c:dLbls>
            <c:dLbl>
              <c:idx val="0"/>
              <c:layout>
                <c:manualLayout>
                  <c:x val="-9.0587174782763805E-2"/>
                  <c:y val="-6.7418811454538888E-2"/>
                </c:manualLayout>
              </c:layout>
              <c:dLblPos val="bestFit"/>
              <c:showVal val="1"/>
              <c:showCatName val="1"/>
            </c:dLbl>
            <c:dLbl>
              <c:idx val="1"/>
              <c:layout>
                <c:manualLayout>
                  <c:x val="2.6988889738297273E-2"/>
                  <c:y val="5.7856387354565934E-2"/>
                </c:manualLayout>
              </c:layout>
              <c:dLblPos val="bestFit"/>
              <c:showVal val="1"/>
              <c:showCatName val="1"/>
            </c:dLbl>
            <c:txPr>
              <a:bodyPr/>
              <a:lstStyle/>
              <a:p>
                <a:pPr>
                  <a:defRPr sz="1400"/>
                </a:pPr>
                <a:endParaRPr lang="en-US"/>
              </a:p>
            </c:txPr>
            <c:dLblPos val="inEnd"/>
            <c:showVal val="1"/>
            <c:showCatName val="1"/>
            <c:showLeaderLines val="1"/>
          </c:dLbls>
          <c:val>
            <c:numRef>
              <c:f>Sheet1!$B$12:$F$12</c:f>
              <c:numCache>
                <c:formatCode>0.00%</c:formatCode>
                <c:ptCount val="5"/>
                <c:pt idx="0">
                  <c:v>0</c:v>
                </c:pt>
                <c:pt idx="1">
                  <c:v>0</c:v>
                </c:pt>
                <c:pt idx="2">
                  <c:v>0.28571428571428786</c:v>
                </c:pt>
                <c:pt idx="3">
                  <c:v>0.42857142857142855</c:v>
                </c:pt>
                <c:pt idx="4">
                  <c:v>0.28571428571428786</c:v>
                </c:pt>
              </c:numCache>
            </c:numRef>
          </c:val>
        </c:ser>
      </c:pie3DChart>
    </c:plotArea>
    <c:legend>
      <c:legendPos val="r"/>
      <c:layout>
        <c:manualLayout>
          <c:xMode val="edge"/>
          <c:yMode val="edge"/>
          <c:x val="0.84138117981153959"/>
          <c:y val="0.30222331583552081"/>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Arh</a:t>
            </a:r>
            <a:r>
              <a:rPr lang="en-US"/>
              <a:t>.</a:t>
            </a:r>
          </a:p>
        </c:rich>
      </c:tx>
      <c:layout>
        <c:manualLayout>
          <c:xMode val="edge"/>
          <c:yMode val="edge"/>
          <c:x val="0.79762833008447565"/>
          <c:y val="6.0185185185185147E-2"/>
        </c:manualLayout>
      </c:layout>
    </c:title>
    <c:view3D>
      <c:rotX val="30"/>
      <c:rotY val="350"/>
      <c:perspective val="10"/>
    </c:view3D>
    <c:plotArea>
      <c:layout>
        <c:manualLayout>
          <c:layoutTarget val="inner"/>
          <c:xMode val="edge"/>
          <c:yMode val="edge"/>
          <c:x val="8.7763865582376782E-2"/>
          <c:y val="0.24323636628754741"/>
          <c:w val="0.74782066176154205"/>
          <c:h val="0.64767096821230674"/>
        </c:manualLayout>
      </c:layout>
      <c:pie3DChart>
        <c:varyColors val="1"/>
        <c:ser>
          <c:idx val="0"/>
          <c:order val="0"/>
          <c:explosion val="25"/>
          <c:dLbls>
            <c:dLbl>
              <c:idx val="1"/>
              <c:layout>
                <c:manualLayout>
                  <c:x val="-0.1366151219049426"/>
                  <c:y val="3.1077232367230884E-2"/>
                </c:manualLayout>
              </c:layout>
              <c:showVal val="1"/>
            </c:dLbl>
            <c:dLbl>
              <c:idx val="2"/>
              <c:layout>
                <c:manualLayout>
                  <c:x val="-0.19770009170540512"/>
                  <c:y val="-0.11941419556597979"/>
                </c:manualLayout>
              </c:layout>
              <c:showVal val="1"/>
            </c:dLbl>
            <c:dLbl>
              <c:idx val="4"/>
              <c:layout>
                <c:manualLayout>
                  <c:x val="6.5804635866299893E-2"/>
                  <c:y val="2.6061037583068318E-2"/>
                </c:manualLayout>
              </c:layout>
              <c:showVal val="1"/>
            </c:dLbl>
            <c:txPr>
              <a:bodyPr/>
              <a:lstStyle/>
              <a:p>
                <a:pPr>
                  <a:defRPr sz="1400"/>
                </a:pPr>
                <a:endParaRPr lang="en-US"/>
              </a:p>
            </c:txPr>
            <c:showVal val="1"/>
            <c:showLeaderLines val="1"/>
          </c:dLbls>
          <c:val>
            <c:numRef>
              <c:f>Sheet1!$B$13:$F$13</c:f>
              <c:numCache>
                <c:formatCode>0.00%</c:formatCode>
                <c:ptCount val="5"/>
                <c:pt idx="0">
                  <c:v>0.14285714285714399</c:v>
                </c:pt>
                <c:pt idx="1">
                  <c:v>0.14285714285714399</c:v>
                </c:pt>
                <c:pt idx="2">
                  <c:v>0.14285714285714399</c:v>
                </c:pt>
                <c:pt idx="3">
                  <c:v>0.42857142857142855</c:v>
                </c:pt>
                <c:pt idx="4">
                  <c:v>0.14285714285714399</c:v>
                </c:pt>
              </c:numCache>
            </c:numRef>
          </c:val>
        </c:ser>
      </c:pie3DChart>
    </c:plotArea>
    <c:legend>
      <c:legendPos val="r"/>
      <c:layout>
        <c:manualLayout>
          <c:xMode val="edge"/>
          <c:yMode val="edge"/>
          <c:x val="0.84138117981153959"/>
          <c:y val="0.30222331583552081"/>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a:t>
            </a:r>
            <a:r>
              <a:rPr lang="en-US" sz="1600"/>
              <a:t>Arh.</a:t>
            </a:r>
          </a:p>
        </c:rich>
      </c:tx>
      <c:layout>
        <c:manualLayout>
          <c:xMode val="edge"/>
          <c:yMode val="edge"/>
          <c:x val="0.79346206418573828"/>
          <c:y val="4.0273962847667294E-2"/>
        </c:manualLayout>
      </c:layout>
    </c:title>
    <c:view3D>
      <c:rotX val="30"/>
      <c:rotY val="40"/>
      <c:perspective val="10"/>
    </c:view3D>
    <c:plotArea>
      <c:layout>
        <c:manualLayout>
          <c:layoutTarget val="inner"/>
          <c:xMode val="edge"/>
          <c:yMode val="edge"/>
          <c:x val="8.7763865582376782E-2"/>
          <c:y val="0.24323636628754741"/>
          <c:w val="0.74782066176154205"/>
          <c:h val="0.64767096821230674"/>
        </c:manualLayout>
      </c:layout>
      <c:pie3DChart>
        <c:varyColors val="1"/>
        <c:ser>
          <c:idx val="0"/>
          <c:order val="0"/>
          <c:explosion val="25"/>
          <c:dLbls>
            <c:dLbl>
              <c:idx val="1"/>
              <c:layout>
                <c:manualLayout>
                  <c:x val="-0.18057229398892374"/>
                  <c:y val="1.7090886894952187E-4"/>
                </c:manualLayout>
              </c:layout>
              <c:showVal val="1"/>
            </c:dLbl>
            <c:txPr>
              <a:bodyPr/>
              <a:lstStyle/>
              <a:p>
                <a:pPr>
                  <a:defRPr sz="1400"/>
                </a:pPr>
                <a:endParaRPr lang="en-US"/>
              </a:p>
            </c:txPr>
            <c:showVal val="1"/>
            <c:showLeaderLines val="1"/>
          </c:dLbls>
          <c:val>
            <c:numRef>
              <c:f>Sheet1!$B$14:$F$14</c:f>
              <c:numCache>
                <c:formatCode>0.00%</c:formatCode>
                <c:ptCount val="5"/>
                <c:pt idx="0">
                  <c:v>0</c:v>
                </c:pt>
                <c:pt idx="1">
                  <c:v>0.28571428571428786</c:v>
                </c:pt>
                <c:pt idx="2">
                  <c:v>0</c:v>
                </c:pt>
                <c:pt idx="3">
                  <c:v>0.57142857142857573</c:v>
                </c:pt>
                <c:pt idx="4">
                  <c:v>0.28571428571428786</c:v>
                </c:pt>
              </c:numCache>
            </c:numRef>
          </c:val>
        </c:ser>
      </c:pie3DChart>
    </c:plotArea>
    <c:legend>
      <c:legendPos val="r"/>
      <c:layout>
        <c:manualLayout>
          <c:xMode val="edge"/>
          <c:yMode val="edge"/>
          <c:x val="0.83730627803553892"/>
          <c:y val="0.30222334126838796"/>
          <c:w val="7.1605481133040494E-2"/>
          <c:h val="0.44442562412256631"/>
        </c:manualLayout>
      </c:layout>
      <c:txPr>
        <a:bodyPr/>
        <a:lstStyle/>
        <a:p>
          <a:pPr rtl="0">
            <a:defRPr/>
          </a:pPr>
          <a:endParaRPr lang="en-US"/>
        </a:p>
      </c:txPr>
    </c:legend>
    <c:plotVisOnly val="1"/>
    <c:dispBlanksAs val="zero"/>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pPr>
            <a:r>
              <a:rPr lang="en-US" sz="1600"/>
              <a:t>Arh.</a:t>
            </a:r>
          </a:p>
        </c:rich>
      </c:tx>
      <c:layout>
        <c:manualLayout>
          <c:xMode val="edge"/>
          <c:yMode val="edge"/>
          <c:x val="0.80335178520318373"/>
          <c:y val="2.9466729748910143E-2"/>
        </c:manualLayout>
      </c:layout>
    </c:title>
    <c:view3D>
      <c:rotX val="30"/>
      <c:rotY val="30"/>
      <c:perspective val="10"/>
    </c:view3D>
    <c:plotArea>
      <c:layout>
        <c:manualLayout>
          <c:layoutTarget val="inner"/>
          <c:xMode val="edge"/>
          <c:yMode val="edge"/>
          <c:x val="8.7763865582376782E-2"/>
          <c:y val="0.24323636628754741"/>
          <c:w val="0.74782066176154205"/>
          <c:h val="0.64767096821230674"/>
        </c:manualLayout>
      </c:layout>
      <c:pie3DChart>
        <c:varyColors val="1"/>
        <c:ser>
          <c:idx val="0"/>
          <c:order val="0"/>
          <c:explosion val="25"/>
          <c:dLbls>
            <c:dLbl>
              <c:idx val="0"/>
              <c:layout>
                <c:manualLayout>
                  <c:x val="-0.12167972616561672"/>
                  <c:y val="-1.2364418303133801E-2"/>
                </c:manualLayout>
              </c:layout>
              <c:showVal val="1"/>
              <c:showCatName val="1"/>
            </c:dLbl>
            <c:dLbl>
              <c:idx val="1"/>
              <c:layout>
                <c:manualLayout>
                  <c:x val="4.0890919656941048E-2"/>
                  <c:y val="8.1226217204777115E-2"/>
                </c:manualLayout>
              </c:layout>
              <c:showVal val="1"/>
              <c:showCatName val="1"/>
            </c:dLbl>
            <c:dLbl>
              <c:idx val="2"/>
              <c:layout>
                <c:manualLayout>
                  <c:x val="-0.22512164227731388"/>
                  <c:y val="-0.17315794216710126"/>
                </c:manualLayout>
              </c:layout>
              <c:showVal val="1"/>
              <c:showCatName val="1"/>
            </c:dLbl>
            <c:dLbl>
              <c:idx val="3"/>
              <c:layout>
                <c:manualLayout>
                  <c:x val="0.15364604917806432"/>
                  <c:y val="-0.13588542909409054"/>
                </c:manualLayout>
              </c:layout>
              <c:showVal val="1"/>
              <c:showCatName val="1"/>
            </c:dLbl>
            <c:dLbl>
              <c:idx val="4"/>
              <c:layout>
                <c:manualLayout>
                  <c:x val="0.15010200429491768"/>
                  <c:y val="0.16163932633420822"/>
                </c:manualLayout>
              </c:layout>
              <c:showVal val="1"/>
              <c:showCatName val="1"/>
            </c:dLbl>
            <c:txPr>
              <a:bodyPr/>
              <a:lstStyle/>
              <a:p>
                <a:pPr>
                  <a:defRPr sz="1400"/>
                </a:pPr>
                <a:endParaRPr lang="en-US"/>
              </a:p>
            </c:txPr>
            <c:showVal val="1"/>
            <c:showCatName val="1"/>
            <c:showLeaderLines val="1"/>
          </c:dLbls>
          <c:val>
            <c:numRef>
              <c:f>Sheet1!$B$15:$F$15</c:f>
              <c:numCache>
                <c:formatCode>0.00%</c:formatCode>
                <c:ptCount val="5"/>
                <c:pt idx="0">
                  <c:v>0</c:v>
                </c:pt>
                <c:pt idx="1">
                  <c:v>0</c:v>
                </c:pt>
                <c:pt idx="2">
                  <c:v>0.42857142857142855</c:v>
                </c:pt>
                <c:pt idx="3">
                  <c:v>0.14285714285714399</c:v>
                </c:pt>
                <c:pt idx="4">
                  <c:v>0.28571428571428786</c:v>
                </c:pt>
              </c:numCache>
            </c:numRef>
          </c:val>
        </c:ser>
      </c:pie3DChart>
    </c:plotArea>
    <c:legend>
      <c:legendPos val="r"/>
      <c:layout>
        <c:manualLayout>
          <c:xMode val="edge"/>
          <c:yMode val="edge"/>
          <c:x val="0.82715378385126026"/>
          <c:y val="0.40067757088303885"/>
          <c:w val="7.1605481133040494E-2"/>
          <c:h val="0.41858595800525084"/>
        </c:manualLayout>
      </c:layout>
      <c:txPr>
        <a:bodyPr/>
        <a:lstStyle/>
        <a:p>
          <a:pPr rtl="0">
            <a:defRPr/>
          </a:pPr>
          <a:endParaRPr lang="en-US"/>
        </a:p>
      </c:txPr>
    </c:legend>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0.81088</cdr:x>
      <cdr:y>0.15397</cdr:y>
    </cdr:from>
    <cdr:to>
      <cdr:x>0.95374</cdr:x>
      <cdr:y>0.25814</cdr:y>
    </cdr:to>
    <cdr:sp macro="" textlink="">
      <cdr:nvSpPr>
        <cdr:cNvPr id="2" name="TextBox 1"/>
        <cdr:cNvSpPr txBox="1"/>
      </cdr:nvSpPr>
      <cdr:spPr>
        <a:xfrm xmlns:a="http://schemas.openxmlformats.org/drawingml/2006/main">
          <a:off x="2539544" y="312084"/>
          <a:ext cx="447412" cy="2111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10.xml><?xml version="1.0" encoding="utf-8"?>
<c:userShapes xmlns:c="http://schemas.openxmlformats.org/drawingml/2006/chart">
  <cdr:relSizeAnchor xmlns:cdr="http://schemas.openxmlformats.org/drawingml/2006/chartDrawing">
    <cdr:from>
      <cdr:x>0.81234</cdr:x>
      <cdr:y>0.15579</cdr:y>
    </cdr:from>
    <cdr:to>
      <cdr:x>0.9552</cdr:x>
      <cdr:y>0.25996</cdr:y>
    </cdr:to>
    <cdr:sp macro="" textlink="">
      <cdr:nvSpPr>
        <cdr:cNvPr id="2" name="TextBox 1"/>
        <cdr:cNvSpPr txBox="1"/>
      </cdr:nvSpPr>
      <cdr:spPr>
        <a:xfrm xmlns:a="http://schemas.openxmlformats.org/drawingml/2006/main">
          <a:off x="3177540" y="427354"/>
          <a:ext cx="558812" cy="2857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11.xml><?xml version="1.0" encoding="utf-8"?>
<c:userShapes xmlns:c="http://schemas.openxmlformats.org/drawingml/2006/chart">
  <cdr:relSizeAnchor xmlns:cdr="http://schemas.openxmlformats.org/drawingml/2006/chartDrawing">
    <cdr:from>
      <cdr:x>0.79969</cdr:x>
      <cdr:y>0.15856</cdr:y>
    </cdr:from>
    <cdr:to>
      <cdr:x>0.94255</cdr:x>
      <cdr:y>0.26273</cdr:y>
    </cdr:to>
    <cdr:sp macro="" textlink="">
      <cdr:nvSpPr>
        <cdr:cNvPr id="2" name="TextBox 1"/>
        <cdr:cNvSpPr txBox="1"/>
      </cdr:nvSpPr>
      <cdr:spPr>
        <a:xfrm xmlns:a="http://schemas.openxmlformats.org/drawingml/2006/main">
          <a:off x="2504482" y="310523"/>
          <a:ext cx="447413" cy="20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0.82305</cdr:x>
      <cdr:y>0.21412</cdr:y>
    </cdr:from>
    <cdr:to>
      <cdr:x>0.96591</cdr:x>
      <cdr:y>0.31829</cdr:y>
    </cdr:to>
    <cdr:sp macro="" textlink="">
      <cdr:nvSpPr>
        <cdr:cNvPr id="2"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3.xml><?xml version="1.0" encoding="utf-8"?>
<c:userShapes xmlns:c="http://schemas.openxmlformats.org/drawingml/2006/chart">
  <cdr:relSizeAnchor xmlns:cdr="http://schemas.openxmlformats.org/drawingml/2006/chartDrawing">
    <cdr:from>
      <cdr:x>0.80852</cdr:x>
      <cdr:y>0.16631</cdr:y>
    </cdr:from>
    <cdr:to>
      <cdr:x>0.95138</cdr:x>
      <cdr:y>0.27048</cdr:y>
    </cdr:to>
    <cdr:sp macro="" textlink="">
      <cdr:nvSpPr>
        <cdr:cNvPr id="2" name="TextBox 1"/>
        <cdr:cNvSpPr txBox="1"/>
      </cdr:nvSpPr>
      <cdr:spPr>
        <a:xfrm xmlns:a="http://schemas.openxmlformats.org/drawingml/2006/main">
          <a:off x="2544468" y="318090"/>
          <a:ext cx="449589" cy="1992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4.xml><?xml version="1.0" encoding="utf-8"?>
<c:userShapes xmlns:c="http://schemas.openxmlformats.org/drawingml/2006/chart">
  <cdr:relSizeAnchor xmlns:cdr="http://schemas.openxmlformats.org/drawingml/2006/chartDrawing">
    <cdr:from>
      <cdr:x>0.81824</cdr:x>
      <cdr:y>0.17566</cdr:y>
    </cdr:from>
    <cdr:to>
      <cdr:x>0.9611</cdr:x>
      <cdr:y>0.31624</cdr:y>
    </cdr:to>
    <cdr:sp macro="" textlink="">
      <cdr:nvSpPr>
        <cdr:cNvPr id="2" name="TextBox 1"/>
        <cdr:cNvSpPr txBox="1"/>
      </cdr:nvSpPr>
      <cdr:spPr>
        <a:xfrm xmlns:a="http://schemas.openxmlformats.org/drawingml/2006/main">
          <a:off x="2593748" y="313212"/>
          <a:ext cx="452855" cy="2506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5.xml><?xml version="1.0" encoding="utf-8"?>
<c:userShapes xmlns:c="http://schemas.openxmlformats.org/drawingml/2006/chart">
  <cdr:relSizeAnchor xmlns:cdr="http://schemas.openxmlformats.org/drawingml/2006/chartDrawing">
    <cdr:from>
      <cdr:x>0.79642</cdr:x>
      <cdr:y>0.19277</cdr:y>
    </cdr:from>
    <cdr:to>
      <cdr:x>0.93928</cdr:x>
      <cdr:y>0.29694</cdr:y>
    </cdr:to>
    <cdr:sp macro="" textlink="">
      <cdr:nvSpPr>
        <cdr:cNvPr id="2" name="TextBox 1"/>
        <cdr:cNvSpPr txBox="1"/>
      </cdr:nvSpPr>
      <cdr:spPr>
        <a:xfrm xmlns:a="http://schemas.openxmlformats.org/drawingml/2006/main">
          <a:off x="2506368" y="412758"/>
          <a:ext cx="449589" cy="2230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6.xml><?xml version="1.0" encoding="utf-8"?>
<c:userShapes xmlns:c="http://schemas.openxmlformats.org/drawingml/2006/chart">
  <cdr:relSizeAnchor xmlns:cdr="http://schemas.openxmlformats.org/drawingml/2006/chartDrawing">
    <cdr:from>
      <cdr:x>0.80357</cdr:x>
      <cdr:y>0.18079</cdr:y>
    </cdr:from>
    <cdr:to>
      <cdr:x>0.94643</cdr:x>
      <cdr:y>0.28496</cdr:y>
    </cdr:to>
    <cdr:sp macro="" textlink="">
      <cdr:nvSpPr>
        <cdr:cNvPr id="3" name="TextBox 1"/>
        <cdr:cNvSpPr txBox="1"/>
      </cdr:nvSpPr>
      <cdr:spPr>
        <a:xfrm xmlns:a="http://schemas.openxmlformats.org/drawingml/2006/main">
          <a:off x="3143242" y="495934"/>
          <a:ext cx="558812" cy="2857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7.xml><?xml version="1.0" encoding="utf-8"?>
<c:userShapes xmlns:c="http://schemas.openxmlformats.org/drawingml/2006/chart">
  <cdr:relSizeAnchor xmlns:cdr="http://schemas.openxmlformats.org/drawingml/2006/chartDrawing">
    <cdr:from>
      <cdr:x>0.79895</cdr:x>
      <cdr:y>0.16702</cdr:y>
    </cdr:from>
    <cdr:to>
      <cdr:x>0.94181</cdr:x>
      <cdr:y>0.27119</cdr:y>
    </cdr:to>
    <cdr:sp macro="" textlink="">
      <cdr:nvSpPr>
        <cdr:cNvPr id="2" name="TextBox 1"/>
        <cdr:cNvSpPr txBox="1"/>
      </cdr:nvSpPr>
      <cdr:spPr>
        <a:xfrm xmlns:a="http://schemas.openxmlformats.org/drawingml/2006/main">
          <a:off x="2526531" y="351260"/>
          <a:ext cx="451766" cy="2190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8.xml><?xml version="1.0" encoding="utf-8"?>
<c:userShapes xmlns:c="http://schemas.openxmlformats.org/drawingml/2006/chart">
  <cdr:relSizeAnchor xmlns:cdr="http://schemas.openxmlformats.org/drawingml/2006/chartDrawing">
    <cdr:from>
      <cdr:x>0.81115</cdr:x>
      <cdr:y>0.17227</cdr:y>
    </cdr:from>
    <cdr:to>
      <cdr:x>0.95401</cdr:x>
      <cdr:y>0.27644</cdr:y>
    </cdr:to>
    <cdr:sp macro="" textlink="">
      <cdr:nvSpPr>
        <cdr:cNvPr id="2" name="TextBox 1"/>
        <cdr:cNvSpPr txBox="1"/>
      </cdr:nvSpPr>
      <cdr:spPr>
        <a:xfrm xmlns:a="http://schemas.openxmlformats.org/drawingml/2006/main">
          <a:off x="2528004" y="338675"/>
          <a:ext cx="445235" cy="2047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9.xml><?xml version="1.0" encoding="utf-8"?>
<c:userShapes xmlns:c="http://schemas.openxmlformats.org/drawingml/2006/chart">
  <cdr:relSizeAnchor xmlns:cdr="http://schemas.openxmlformats.org/drawingml/2006/chartDrawing">
    <cdr:from>
      <cdr:x>0.76367</cdr:x>
      <cdr:y>0.15301</cdr:y>
    </cdr:from>
    <cdr:to>
      <cdr:x>0.90653</cdr:x>
      <cdr:y>0.25718</cdr:y>
    </cdr:to>
    <cdr:sp macro="" textlink="">
      <cdr:nvSpPr>
        <cdr:cNvPr id="2" name="TextBox 1"/>
        <cdr:cNvSpPr txBox="1"/>
      </cdr:nvSpPr>
      <cdr:spPr>
        <a:xfrm xmlns:a="http://schemas.openxmlformats.org/drawingml/2006/main">
          <a:off x="2508049" y="271661"/>
          <a:ext cx="469185" cy="184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2020-04-14T08:09:00Z</dcterms:created>
  <dcterms:modified xsi:type="dcterms:W3CDTF">2020-05-12T17:17:00Z</dcterms:modified>
</cp:coreProperties>
</file>