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096"/>
        <w:gridCol w:w="450"/>
        <w:gridCol w:w="126"/>
        <w:gridCol w:w="1051"/>
        <w:gridCol w:w="794"/>
        <w:gridCol w:w="270"/>
        <w:gridCol w:w="76"/>
        <w:gridCol w:w="1065"/>
        <w:gridCol w:w="410"/>
        <w:gridCol w:w="146"/>
        <w:gridCol w:w="1345"/>
        <w:gridCol w:w="445"/>
        <w:gridCol w:w="190"/>
        <w:gridCol w:w="1610"/>
      </w:tblGrid>
      <w:tr w:rsidR="001E1722" w:rsidRPr="00D86FDD" w:rsidTr="00D86FDD">
        <w:trPr>
          <w:trHeight w:val="427"/>
        </w:trPr>
        <w:tc>
          <w:tcPr>
            <w:tcW w:w="4603" w:type="dxa"/>
            <w:gridSpan w:val="7"/>
            <w:vAlign w:val="center"/>
          </w:tcPr>
          <w:p w:rsidR="001E1722" w:rsidRPr="00D86FDD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86F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287" w:type="dxa"/>
            <w:gridSpan w:val="8"/>
            <w:vAlign w:val="center"/>
          </w:tcPr>
          <w:p w:rsidR="001E1722" w:rsidRPr="00D86FDD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86FD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Александар Кековић</w:t>
            </w:r>
          </w:p>
        </w:tc>
      </w:tr>
      <w:tr w:rsidR="001E1722" w:rsidRPr="0067328E" w:rsidTr="00D86FDD">
        <w:trPr>
          <w:trHeight w:val="427"/>
        </w:trPr>
        <w:tc>
          <w:tcPr>
            <w:tcW w:w="4603" w:type="dxa"/>
            <w:gridSpan w:val="7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287" w:type="dxa"/>
            <w:gridSpan w:val="8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Редовни професор</w:t>
            </w:r>
          </w:p>
        </w:tc>
      </w:tr>
      <w:tr w:rsidR="001E1722" w:rsidRPr="0067328E" w:rsidTr="00D86FDD">
        <w:trPr>
          <w:trHeight w:val="427"/>
        </w:trPr>
        <w:tc>
          <w:tcPr>
            <w:tcW w:w="4603" w:type="dxa"/>
            <w:gridSpan w:val="7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или непуним </w:t>
            </w: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287" w:type="dxa"/>
            <w:gridSpan w:val="8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Грађевинско-архитектонски факултет</w:t>
            </w:r>
          </w:p>
        </w:tc>
      </w:tr>
      <w:tr w:rsidR="001E1722" w:rsidRPr="0067328E" w:rsidTr="00D86FDD">
        <w:trPr>
          <w:trHeight w:val="427"/>
        </w:trPr>
        <w:tc>
          <w:tcPr>
            <w:tcW w:w="4603" w:type="dxa"/>
            <w:gridSpan w:val="7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287" w:type="dxa"/>
            <w:gridSpan w:val="8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</w:tr>
      <w:tr w:rsidR="001E1722" w:rsidRPr="0067328E" w:rsidTr="00D86FDD">
        <w:trPr>
          <w:trHeight w:val="224"/>
        </w:trPr>
        <w:tc>
          <w:tcPr>
            <w:tcW w:w="9890" w:type="dxa"/>
            <w:gridSpan w:val="1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1E1722" w:rsidRPr="0067328E" w:rsidTr="00D86FDD">
        <w:trPr>
          <w:trHeight w:val="427"/>
        </w:trPr>
        <w:tc>
          <w:tcPr>
            <w:tcW w:w="2488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051" w:type="dxa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Научна или уметничка о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бласт 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Ужа научна, уметничка или стручна област</w:t>
            </w:r>
          </w:p>
        </w:tc>
      </w:tr>
      <w:tr w:rsidR="001E1722" w:rsidRPr="0067328E" w:rsidTr="00D86FDD">
        <w:trPr>
          <w:trHeight w:val="427"/>
        </w:trPr>
        <w:tc>
          <w:tcPr>
            <w:tcW w:w="2488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051" w:type="dxa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2020.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Грађевинско архитектонски факултет у Нишу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2020.</w:t>
            </w:r>
          </w:p>
        </w:tc>
      </w:tr>
      <w:tr w:rsidR="001E1722" w:rsidRPr="0067328E" w:rsidTr="00D86FDD">
        <w:trPr>
          <w:trHeight w:val="427"/>
        </w:trPr>
        <w:tc>
          <w:tcPr>
            <w:tcW w:w="2488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051" w:type="dxa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2009.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- 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II -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2009.</w:t>
            </w:r>
          </w:p>
        </w:tc>
      </w:tr>
      <w:tr w:rsidR="001E1722" w:rsidRPr="0067328E" w:rsidTr="00D86FDD">
        <w:trPr>
          <w:trHeight w:val="427"/>
        </w:trPr>
        <w:tc>
          <w:tcPr>
            <w:tcW w:w="2488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1051" w:type="dxa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2004.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- 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II -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2004.</w:t>
            </w:r>
          </w:p>
        </w:tc>
      </w:tr>
      <w:tr w:rsidR="001E1722" w:rsidRPr="0067328E" w:rsidTr="00D86FDD">
        <w:trPr>
          <w:trHeight w:val="427"/>
        </w:trPr>
        <w:tc>
          <w:tcPr>
            <w:tcW w:w="2488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051" w:type="dxa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1989.</w:t>
            </w:r>
          </w:p>
        </w:tc>
        <w:tc>
          <w:tcPr>
            <w:tcW w:w="2205" w:type="dxa"/>
            <w:gridSpan w:val="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Архитектонски факултет у Сарајеву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Архитектонско пројектовање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1989.</w:t>
            </w:r>
          </w:p>
        </w:tc>
      </w:tr>
      <w:tr w:rsidR="001E1722" w:rsidRPr="0067328E" w:rsidTr="00D86FDD">
        <w:trPr>
          <w:trHeight w:val="143"/>
        </w:trPr>
        <w:tc>
          <w:tcPr>
            <w:tcW w:w="9890" w:type="dxa"/>
            <w:gridSpan w:val="1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Списак предмета за  које  је наставник акредитован </w:t>
            </w: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 првом или другом степену студија</w:t>
            </w:r>
          </w:p>
        </w:tc>
      </w:tr>
      <w:tr w:rsidR="001E1722" w:rsidRPr="0067328E" w:rsidTr="00D86FDD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Р.Б.</w:t>
            </w:r>
          </w:p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,2,3...</w:t>
            </w: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Ознака предмета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Назив предмета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Вид наставе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Назив студијског програма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В</w:t>
            </w: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  <w:lang w:val="sr-Cyrl-CS"/>
              </w:rPr>
              <w:t>рста студија (</w:t>
            </w:r>
            <w:r w:rsidRPr="0067328E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ИА0055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1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:rsidTr="00D86FDD">
        <w:trPr>
          <w:trHeight w:val="296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ИА0066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2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:rsidTr="00D86FDD">
        <w:trPr>
          <w:trHeight w:val="269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ИА0095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Унутрашња архитектура 3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:rsidTr="00D86FDD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ИА0029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Пројектовање стамбених зграда 2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ИА0071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Техничка документација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ИАС</w:t>
            </w:r>
          </w:p>
        </w:tc>
      </w:tr>
      <w:tr w:rsidR="001E1722" w:rsidRPr="0067328E" w:rsidTr="00D86FDD">
        <w:trPr>
          <w:trHeight w:val="359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ОГ4004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Разрада техничке документације и прописи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1E1722" w:rsidRPr="0067328E" w:rsidRDefault="001E1722" w:rsidP="00D86FD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1E1722" w:rsidRPr="0067328E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ИA0077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Студио Стамбене зграде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Предавања, Вежбе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ИАС</w:t>
            </w:r>
          </w:p>
        </w:tc>
      </w:tr>
      <w:tr w:rsidR="001E1722" w:rsidRPr="0067328E" w:rsidTr="00D86FDD">
        <w:trPr>
          <w:trHeight w:val="251"/>
        </w:trPr>
        <w:tc>
          <w:tcPr>
            <w:tcW w:w="81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ИА0090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Стамбене зграде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Архитектура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</w:rPr>
              <w:t>ИАС</w:t>
            </w:r>
          </w:p>
        </w:tc>
      </w:tr>
      <w:tr w:rsidR="00D86FDD" w:rsidRPr="00713DBE" w:rsidTr="00D86FDD">
        <w:trPr>
          <w:trHeight w:val="20"/>
        </w:trPr>
        <w:tc>
          <w:tcPr>
            <w:tcW w:w="816" w:type="dxa"/>
            <w:shd w:val="clear" w:color="auto" w:fill="auto"/>
            <w:vAlign w:val="center"/>
          </w:tcPr>
          <w:p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19.MU0004</w:t>
            </w:r>
          </w:p>
        </w:tc>
        <w:tc>
          <w:tcPr>
            <w:tcW w:w="2767" w:type="dxa"/>
            <w:gridSpan w:val="6"/>
            <w:shd w:val="clear" w:color="auto" w:fill="auto"/>
            <w:vAlign w:val="center"/>
          </w:tcPr>
          <w:p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Управљање некретнинама</w:t>
            </w:r>
          </w:p>
        </w:tc>
        <w:tc>
          <w:tcPr>
            <w:tcW w:w="1621" w:type="dxa"/>
            <w:gridSpan w:val="3"/>
            <w:shd w:val="clear" w:color="auto" w:fill="auto"/>
            <w:vAlign w:val="center"/>
          </w:tcPr>
          <w:p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D86FDD" w:rsidRPr="00713DBE" w:rsidRDefault="00D86FDD" w:rsidP="00D86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Управљање пројектима у градитељству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86FDD" w:rsidRPr="00713DBE" w:rsidRDefault="00D86FDD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3DBE">
              <w:rPr>
                <w:rFonts w:ascii="Times New Roman" w:hAnsi="Times New Roman"/>
                <w:sz w:val="16"/>
                <w:szCs w:val="16"/>
              </w:rPr>
              <w:t>МАС</w:t>
            </w:r>
          </w:p>
        </w:tc>
      </w:tr>
      <w:tr w:rsidR="001E1722" w:rsidRPr="0067328E" w:rsidTr="00D86FDD">
        <w:trPr>
          <w:trHeight w:val="260"/>
        </w:trPr>
        <w:tc>
          <w:tcPr>
            <w:tcW w:w="9890" w:type="dxa"/>
            <w:gridSpan w:val="1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pacing w:val="-2"/>
                <w:sz w:val="14"/>
                <w:szCs w:val="14"/>
              </w:rPr>
              <w:t xml:space="preserve">URBAN CHARACTERISTICS OF THE NIŠ MODERNA </w:t>
            </w:r>
            <w:r w:rsidRPr="0067328E">
              <w:rPr>
                <w:rFonts w:ascii="Times New Roman" w:eastAsia="Calibri" w:hAnsi="Times New Roman" w:cs="Times New Roman"/>
                <w:spacing w:val="-2"/>
                <w:sz w:val="14"/>
                <w:szCs w:val="14"/>
              </w:rPr>
              <w:t>In the Monografi:</w:t>
            </w:r>
            <w:r w:rsidRPr="0067328E">
              <w:rPr>
                <w:rFonts w:ascii="Times New Roman" w:eastAsia="Calibri" w:hAnsi="Times New Roman" w:cs="Times New Roman"/>
                <w:kern w:val="36"/>
                <w:sz w:val="14"/>
                <w:szCs w:val="14"/>
              </w:rPr>
              <w:t xml:space="preserve">The Importance of Place -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Values and Building Practices in the Historic Urban Landscape</w:t>
            </w:r>
            <w:r w:rsidRPr="0067328E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, </w:t>
            </w:r>
            <w:r w:rsidRPr="0067328E">
              <w:rPr>
                <w:rFonts w:ascii="Times New Roman" w:eastAsia="Calibri" w:hAnsi="Times New Roman" w:cs="Times New Roman"/>
                <w:color w:val="1D1B1B"/>
                <w:sz w:val="14"/>
                <w:szCs w:val="14"/>
              </w:rPr>
              <w:t>Cambridge Scholars Publishing, 2016,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Pub e-EAN/ISBN: 978-1-4438-9299-5</w:t>
            </w:r>
            <w:r w:rsidRPr="0067328E">
              <w:rPr>
                <w:rFonts w:ascii="Times New Roman" w:eastAsia="Calibri" w:hAnsi="Times New Roman" w:cs="Times New Roman"/>
                <w:vanish/>
                <w:sz w:val="14"/>
                <w:szCs w:val="14"/>
              </w:rPr>
              <w:t>Hardcover EAN/ISBN: 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, Paper EAN/ISBN: 978-1-4438-8712-0, pp.215-224,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М13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PRESCHOOL BUILDING IN THE CONTEXT OF INTERIOR ENVIRONMENT REVITALIZATION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Revitalization оf Preschool Facilities in Serbia, Danica Stankovic, Milan Tanic at all, Faculty оf Civil Engineering аnd Architecture University оf Nis, ISBN 978-86-88601-15-3, pp. 23-42.,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М14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 xml:space="preserve">ТHE SPATIAL COMFORT OF SOCIAL HOUSING UNITS IN THE POST-SOCIALIST PERIOD IN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S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>ERBIA IN RELATION TO THE APPLICABLE ARCHITECTURAL NORMS,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 Cities, 2017, бр. 62, стр. 88–95, ISSN: 0264-2751, DOI: 10.1016/j.cities.2016.12.014,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  <w:t>М21а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INTERCONNECTION BETWEEN PHYSICAL ENVIRONMENT AND PEDAGOGICAL PROCESS IN ELEMENTARY SCHOOLS IN NIŠ, SERBIA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r w:rsidRPr="0067328E">
              <w:rPr>
                <w:rFonts w:ascii="Times New Roman" w:eastAsia="Calibri" w:hAnsi="Times New Roman" w:cs="Times New Roman"/>
                <w:i/>
                <w:iCs/>
                <w:sz w:val="14"/>
                <w:szCs w:val="14"/>
              </w:rPr>
              <w:t>Current Science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, ISSN 0011-3891, Vol. 108 N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  <w:vertAlign w:val="superscript"/>
              </w:rPr>
              <w:t xml:space="preserve">o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7, pp. 1228-1234, </w:t>
            </w: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М22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THE PAŠTROVSKA HOUSE OF THE MONTENEGRIN COASTAL AREA: AN EXAMPLE OF SUSTAINABLE BUILDING IN TRADITIONAL ARCHITECTURE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>ISSN 1330-3651, Online: ISSN 1848-6339, Vol. 26/No. 3 2019.. DOI: 10.17559/TV-20180910​230243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, М23                                          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THE MOTIVES FOR APPLICATION OF THE FLEXIBLE ELEMENTS IN THE HOUSING INTERIOR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Facta Universitatis, Series Architecture and Civil Engineering, University of Niš, 2014, ISSN 0354-4605, Vol. 12. No1,pp </w:t>
            </w:r>
            <w:r w:rsidRPr="0067328E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41-51,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UDC 747=111, DOI: 10.2298/FUACE1401041Z, Niš, 2014.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, М24                            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ANALYSIS OF COMPATIBILITY OF CONTEMPORARY RESIDENTIAL HOUSING IN NIS WITH CURRENT STANDARDS IN THE REPUBLIC OF SERBIA, Applied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Mechanics and Materials, Trans Tech Publications Inc., Switzerland, 2015., Vols. 725-726, pp.1244, </w:t>
            </w:r>
            <w:r w:rsidRPr="0067328E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DOI: 10.4028/www.scientific.net/AMM.725-726.1557 , </w:t>
            </w:r>
            <w:r w:rsidRPr="0067328E">
              <w:rPr>
                <w:rFonts w:ascii="Times New Roman" w:eastAsia="Calibri" w:hAnsi="Times New Roman" w:cs="Times New Roman"/>
                <w:b/>
                <w:color w:val="000000"/>
                <w:sz w:val="14"/>
                <w:szCs w:val="14"/>
              </w:rPr>
              <w:t xml:space="preserve">М24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DESGNING OF CHILDREN PLAYGROUNDS FROM THE ASPECT OF USED SURFACING WITH A GOAL OF CHILDREN SAFETY THE EXAMPLE OF THE CITY OF NIŠ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Facta Universitatis, Series Architecture and Civil Engineering, University of Niš, Vol. 17 No1, 2019, pp </w:t>
            </w:r>
            <w:r w:rsidRPr="0067328E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41-51,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ISSN 0354-4605, UDC 747=111, DOI: 10.2298/FUACE1401041Z, Niš, </w:t>
            </w:r>
            <w:r w:rsidRPr="0067328E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М24                                                                                                                                             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Ubuntu-Medium" w:hAnsi="Times New Roman" w:cs="Times New Roman"/>
                <w:b/>
                <w:sz w:val="14"/>
                <w:szCs w:val="14"/>
              </w:rPr>
              <w:t>AUDIO BM,</w:t>
            </w:r>
            <w:r w:rsidRPr="0067328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 International Exhibition STANOVANJE-HOUSING 2015,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University of Nis, Faculty of Civil Engineering and Architecture, </w:t>
            </w:r>
            <w:r w:rsidRPr="0067328E"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  <w:t>pp.14-15.,</w:t>
            </w:r>
            <w:r w:rsidRPr="0067328E">
              <w:rPr>
                <w:rFonts w:ascii="Times New Roman" w:eastAsia="Ubuntu-Light" w:hAnsi="Times New Roman" w:cs="Times New Roman"/>
                <w:sz w:val="14"/>
                <w:szCs w:val="14"/>
              </w:rPr>
              <w:t xml:space="preserve">728:069.9(497.11)»2015»(083.824), ISBN 978-86-88601-21-4, COBISS.SR-ID 218473996,Niš 2015., </w:t>
            </w:r>
            <w:r w:rsidRPr="0067328E">
              <w:rPr>
                <w:rFonts w:ascii="Times New Roman" w:eastAsia="Ubuntu-Light" w:hAnsi="Times New Roman" w:cs="Times New Roman"/>
                <w:b/>
                <w:sz w:val="14"/>
                <w:szCs w:val="14"/>
              </w:rPr>
              <w:t xml:space="preserve">СУА 1.5                                                                                   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816" w:type="dxa"/>
            <w:vAlign w:val="center"/>
          </w:tcPr>
          <w:p w:rsidR="001E1722" w:rsidRPr="0067328E" w:rsidRDefault="001E1722" w:rsidP="00D86FDD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sr-Cyrl-CS"/>
              </w:rPr>
            </w:pPr>
          </w:p>
        </w:tc>
        <w:tc>
          <w:tcPr>
            <w:tcW w:w="9074" w:type="dxa"/>
            <w:gridSpan w:val="14"/>
            <w:shd w:val="clear" w:color="auto" w:fill="auto"/>
            <w:vAlign w:val="center"/>
          </w:tcPr>
          <w:p w:rsidR="001E1722" w:rsidRPr="0067328E" w:rsidRDefault="001E1722" w:rsidP="00D8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  <w:lang w:val="sr-Cyrl-CS"/>
              </w:rPr>
            </w:pPr>
            <w:r w:rsidRPr="0067328E">
              <w:rPr>
                <w:rFonts w:ascii="Times New Roman" w:eastAsia="Ubuntu-Medium" w:hAnsi="Times New Roman" w:cs="Times New Roman"/>
                <w:b/>
                <w:sz w:val="14"/>
                <w:szCs w:val="14"/>
              </w:rPr>
              <w:t>CORNER HOUSE</w:t>
            </w:r>
            <w:r w:rsidRPr="0067328E">
              <w:rPr>
                <w:rFonts w:ascii="Times New Roman" w:eastAsia="Ubuntu-Medium" w:hAnsi="Times New Roman" w:cs="Times New Roman"/>
                <w:sz w:val="14"/>
                <w:szCs w:val="14"/>
              </w:rPr>
              <w:t xml:space="preserve">, International Exhibition o STANOVANJE-HOUSING 2017, 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University of Nis, Faculty of Civil Engineering and Architecture, , </w:t>
            </w:r>
            <w:r w:rsidRPr="0067328E"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  <w:t>pp.101-102.,</w:t>
            </w:r>
            <w:r w:rsidRPr="0067328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728:069.9(497.11, </w:t>
            </w:r>
            <w:r w:rsidRPr="0067328E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ISBN 978-86-88601-31-3, COBISS.SR-ID 249168396,</w:t>
            </w:r>
            <w:r w:rsidRPr="0067328E">
              <w:rPr>
                <w:rFonts w:ascii="Times New Roman" w:eastAsia="Ubuntu-Light" w:hAnsi="Times New Roman" w:cs="Times New Roman"/>
                <w:bCs/>
                <w:sz w:val="14"/>
                <w:szCs w:val="14"/>
              </w:rPr>
              <w:t xml:space="preserve"> Niš 2017.</w:t>
            </w:r>
            <w:r w:rsidRPr="0067328E">
              <w:rPr>
                <w:rFonts w:ascii="Times New Roman" w:eastAsia="Ubuntu-Light" w:hAnsi="Times New Roman" w:cs="Times New Roman"/>
                <w:b/>
                <w:bCs/>
                <w:sz w:val="14"/>
                <w:szCs w:val="14"/>
              </w:rPr>
              <w:t xml:space="preserve">  , СУА 1.5                                                                                                           </w:t>
            </w:r>
          </w:p>
        </w:tc>
      </w:tr>
      <w:tr w:rsidR="001E1722" w:rsidRPr="0067328E" w:rsidTr="00D86FDD">
        <w:trPr>
          <w:trHeight w:val="427"/>
        </w:trPr>
        <w:tc>
          <w:tcPr>
            <w:tcW w:w="9890" w:type="dxa"/>
            <w:gridSpan w:val="1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E1722" w:rsidRPr="0067328E" w:rsidTr="00D86FDD">
        <w:trPr>
          <w:trHeight w:val="260"/>
        </w:trPr>
        <w:tc>
          <w:tcPr>
            <w:tcW w:w="4333" w:type="dxa"/>
            <w:gridSpan w:val="6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5557" w:type="dxa"/>
            <w:gridSpan w:val="9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15</w:t>
            </w:r>
          </w:p>
        </w:tc>
      </w:tr>
      <w:tr w:rsidR="001E1722" w:rsidRPr="0067328E" w:rsidTr="00D86FDD">
        <w:trPr>
          <w:trHeight w:val="269"/>
        </w:trPr>
        <w:tc>
          <w:tcPr>
            <w:tcW w:w="4333" w:type="dxa"/>
            <w:gridSpan w:val="6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5557" w:type="dxa"/>
            <w:gridSpan w:val="9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CS"/>
              </w:rPr>
              <w:t>3</w:t>
            </w:r>
          </w:p>
        </w:tc>
      </w:tr>
      <w:tr w:rsidR="001E1722" w:rsidRPr="0067328E" w:rsidTr="00D86FDD">
        <w:trPr>
          <w:trHeight w:val="107"/>
        </w:trPr>
        <w:tc>
          <w:tcPr>
            <w:tcW w:w="4333" w:type="dxa"/>
            <w:gridSpan w:val="6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1821" w:type="dxa"/>
            <w:gridSpan w:val="4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sr-Cyrl-CS"/>
              </w:rPr>
              <w:t>Домаћи</w:t>
            </w:r>
          </w:p>
        </w:tc>
        <w:tc>
          <w:tcPr>
            <w:tcW w:w="3736" w:type="dxa"/>
            <w:gridSpan w:val="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Међународни</w:t>
            </w:r>
          </w:p>
        </w:tc>
      </w:tr>
      <w:tr w:rsidR="001E1722" w:rsidRPr="0067328E" w:rsidTr="00D86FDD">
        <w:trPr>
          <w:trHeight w:val="89"/>
        </w:trPr>
        <w:tc>
          <w:tcPr>
            <w:tcW w:w="2362" w:type="dxa"/>
            <w:gridSpan w:val="3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7528" w:type="dxa"/>
            <w:gridSpan w:val="12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E1722" w:rsidRPr="0067328E" w:rsidTr="00D86FDD">
        <w:trPr>
          <w:trHeight w:val="58"/>
        </w:trPr>
        <w:tc>
          <w:tcPr>
            <w:tcW w:w="9890" w:type="dxa"/>
            <w:gridSpan w:val="15"/>
            <w:vAlign w:val="center"/>
          </w:tcPr>
          <w:p w:rsidR="001E1722" w:rsidRPr="0067328E" w:rsidRDefault="001E1722" w:rsidP="00D86FD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67328E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:rsidR="00EA2295" w:rsidRPr="00D86FDD" w:rsidRDefault="00D86FDD" w:rsidP="0067328E">
      <w:pPr>
        <w:spacing w:after="0"/>
        <w:rPr>
          <w:rFonts w:ascii="Times New Roman" w:hAnsi="Times New Roman" w:cs="Times New Roman"/>
          <w:b/>
        </w:rPr>
      </w:pPr>
      <w:r w:rsidRPr="00D86FDD">
        <w:rPr>
          <w:rFonts w:ascii="Times New Roman" w:hAnsi="Times New Roman" w:cs="Times New Roman"/>
          <w:b/>
        </w:rPr>
        <w:t>Табела 9.1. Научне, уметничке и стручне квалификације наставника и задужења у настави</w:t>
      </w:r>
      <w:bookmarkStart w:id="0" w:name="_GoBack"/>
      <w:bookmarkEnd w:id="0"/>
    </w:p>
    <w:sectPr w:rsidR="00EA2295" w:rsidRPr="00D86FDD" w:rsidSect="00D86FDD">
      <w:footerReference w:type="default" r:id="rId7"/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89" w:rsidRDefault="00826D89">
      <w:pPr>
        <w:spacing w:after="0" w:line="240" w:lineRule="auto"/>
      </w:pPr>
      <w:r>
        <w:separator/>
      </w:r>
    </w:p>
  </w:endnote>
  <w:endnote w:type="continuationSeparator" w:id="0">
    <w:p w:rsidR="00826D89" w:rsidRDefault="0082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buntu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35" w:rsidRDefault="00D4116C">
    <w:pPr>
      <w:pStyle w:val="Footer"/>
      <w:jc w:val="right"/>
    </w:pPr>
    <w:r>
      <w:fldChar w:fldCharType="begin"/>
    </w:r>
    <w:r w:rsidR="001E1722">
      <w:instrText xml:space="preserve"> PAGE   \* MERGEFORMAT </w:instrText>
    </w:r>
    <w:r>
      <w:fldChar w:fldCharType="separate"/>
    </w:r>
    <w:r w:rsidR="00D86FDD">
      <w:rPr>
        <w:noProof/>
      </w:rPr>
      <w:t>1</w:t>
    </w:r>
    <w:r>
      <w:rPr>
        <w:noProof/>
      </w:rPr>
      <w:fldChar w:fldCharType="end"/>
    </w:r>
  </w:p>
  <w:p w:rsidR="005A4C35" w:rsidRDefault="00826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89" w:rsidRDefault="00826D89">
      <w:pPr>
        <w:spacing w:after="0" w:line="240" w:lineRule="auto"/>
      </w:pPr>
      <w:r>
        <w:separator/>
      </w:r>
    </w:p>
  </w:footnote>
  <w:footnote w:type="continuationSeparator" w:id="0">
    <w:p w:rsidR="00826D89" w:rsidRDefault="0082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722"/>
    <w:rsid w:val="000147FD"/>
    <w:rsid w:val="001E1722"/>
    <w:rsid w:val="0067328E"/>
    <w:rsid w:val="00826D89"/>
    <w:rsid w:val="00AC497B"/>
    <w:rsid w:val="00D4116C"/>
    <w:rsid w:val="00D86FDD"/>
    <w:rsid w:val="00EA2295"/>
    <w:rsid w:val="00F2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57926-0E70-46AF-AC4D-DB6A891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E17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Radovan</cp:lastModifiedBy>
  <cp:revision>3</cp:revision>
  <dcterms:created xsi:type="dcterms:W3CDTF">2020-06-20T18:21:00Z</dcterms:created>
  <dcterms:modified xsi:type="dcterms:W3CDTF">2020-06-23T22:53:00Z</dcterms:modified>
</cp:coreProperties>
</file>