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1BA9A" w14:textId="77777777" w:rsidR="005A4C35" w:rsidRPr="005C606F" w:rsidRDefault="005A4C35" w:rsidP="005A4C35">
      <w:pPr>
        <w:spacing w:after="60"/>
        <w:jc w:val="center"/>
        <w:rPr>
          <w:rFonts w:ascii="Times New Roman" w:hAnsi="Times New Roman"/>
          <w:sz w:val="20"/>
          <w:szCs w:val="20"/>
        </w:rPr>
      </w:pPr>
      <w:r w:rsidRPr="005C606F">
        <w:rPr>
          <w:rFonts w:ascii="Times New Roman" w:hAnsi="Times New Roman"/>
          <w:b/>
          <w:sz w:val="20"/>
          <w:szCs w:val="20"/>
          <w:lang w:val="sr-Cyrl-CS"/>
        </w:rPr>
        <w:t>Табела 9.1.</w:t>
      </w:r>
      <w:r w:rsidRPr="005C606F">
        <w:rPr>
          <w:rFonts w:ascii="Times New Roman" w:hAnsi="Times New Roman"/>
          <w:sz w:val="20"/>
          <w:szCs w:val="20"/>
          <w:lang w:val="sr-Cyrl-CS"/>
        </w:rPr>
        <w:t xml:space="preserve"> Научне, уметничке и стручне квалификације наставника и задужења у настави</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1"/>
        <w:gridCol w:w="993"/>
        <w:gridCol w:w="425"/>
        <w:gridCol w:w="425"/>
        <w:gridCol w:w="1843"/>
        <w:gridCol w:w="103"/>
        <w:gridCol w:w="277"/>
        <w:gridCol w:w="329"/>
        <w:gridCol w:w="1134"/>
        <w:gridCol w:w="59"/>
        <w:gridCol w:w="933"/>
        <w:gridCol w:w="1134"/>
        <w:gridCol w:w="2128"/>
      </w:tblGrid>
      <w:tr w:rsidR="00491993" w:rsidRPr="00491993" w14:paraId="66494BA2" w14:textId="77777777" w:rsidTr="005C606F">
        <w:trPr>
          <w:trHeight w:val="284"/>
        </w:trPr>
        <w:tc>
          <w:tcPr>
            <w:tcW w:w="4633" w:type="dxa"/>
            <w:gridSpan w:val="8"/>
            <w:vAlign w:val="center"/>
          </w:tcPr>
          <w:p w14:paraId="01E7E0D5" w14:textId="77777777" w:rsidR="00491993" w:rsidRPr="00491993" w:rsidRDefault="00491993" w:rsidP="005C606F">
            <w:pPr>
              <w:tabs>
                <w:tab w:val="left" w:pos="567"/>
              </w:tabs>
              <w:rPr>
                <w:rFonts w:ascii="Times New Roman" w:hAnsi="Times New Roman"/>
                <w:b/>
                <w:sz w:val="20"/>
                <w:szCs w:val="20"/>
                <w:lang w:val="sr-Cyrl-CS"/>
              </w:rPr>
            </w:pPr>
            <w:r w:rsidRPr="00491993">
              <w:rPr>
                <w:rFonts w:ascii="Times New Roman" w:hAnsi="Times New Roman"/>
                <w:b/>
                <w:sz w:val="20"/>
                <w:szCs w:val="20"/>
                <w:lang w:val="sr-Cyrl-CS"/>
              </w:rPr>
              <w:t xml:space="preserve">Име и презиме </w:t>
            </w:r>
          </w:p>
        </w:tc>
        <w:tc>
          <w:tcPr>
            <w:tcW w:w="5717" w:type="dxa"/>
            <w:gridSpan w:val="6"/>
            <w:vAlign w:val="center"/>
          </w:tcPr>
          <w:p w14:paraId="37A8EAED" w14:textId="1E566EE4" w:rsidR="00491993" w:rsidRPr="00491993" w:rsidRDefault="004372ED" w:rsidP="00535C05">
            <w:pPr>
              <w:tabs>
                <w:tab w:val="left" w:pos="567"/>
              </w:tabs>
              <w:spacing w:after="60"/>
              <w:rPr>
                <w:rFonts w:ascii="Times New Roman" w:hAnsi="Times New Roman"/>
                <w:sz w:val="20"/>
                <w:szCs w:val="20"/>
                <w:lang w:val="sr-Cyrl-CS"/>
              </w:rPr>
            </w:pPr>
            <w:r>
              <w:rPr>
                <w:rFonts w:ascii="Times New Roman" w:hAnsi="Times New Roman"/>
                <w:sz w:val="20"/>
                <w:szCs w:val="20"/>
                <w:lang w:val="sr-Cyrl-CS"/>
              </w:rPr>
              <w:t>Миомир Миљковић</w:t>
            </w:r>
          </w:p>
        </w:tc>
      </w:tr>
      <w:tr w:rsidR="00491993" w:rsidRPr="00491993" w14:paraId="3C07B0C6" w14:textId="77777777" w:rsidTr="005C606F">
        <w:trPr>
          <w:trHeight w:val="284"/>
        </w:trPr>
        <w:tc>
          <w:tcPr>
            <w:tcW w:w="4633" w:type="dxa"/>
            <w:gridSpan w:val="8"/>
            <w:vAlign w:val="center"/>
          </w:tcPr>
          <w:p w14:paraId="24E765E9" w14:textId="77777777" w:rsidR="00491993" w:rsidRPr="00491993" w:rsidRDefault="00491993" w:rsidP="00535C05">
            <w:pPr>
              <w:tabs>
                <w:tab w:val="left" w:pos="567"/>
              </w:tabs>
              <w:spacing w:after="60"/>
              <w:rPr>
                <w:rFonts w:ascii="Times New Roman" w:hAnsi="Times New Roman"/>
                <w:b/>
                <w:sz w:val="20"/>
                <w:szCs w:val="20"/>
                <w:lang w:val="sr-Cyrl-CS"/>
              </w:rPr>
            </w:pPr>
            <w:r w:rsidRPr="00491993">
              <w:rPr>
                <w:rFonts w:ascii="Times New Roman" w:hAnsi="Times New Roman"/>
                <w:b/>
                <w:sz w:val="20"/>
                <w:szCs w:val="20"/>
                <w:lang w:val="sr-Cyrl-CS"/>
              </w:rPr>
              <w:t>Звање</w:t>
            </w:r>
          </w:p>
        </w:tc>
        <w:tc>
          <w:tcPr>
            <w:tcW w:w="5717" w:type="dxa"/>
            <w:gridSpan w:val="6"/>
            <w:vAlign w:val="center"/>
          </w:tcPr>
          <w:p w14:paraId="5C3D703D" w14:textId="623B5AA7" w:rsidR="00491993" w:rsidRPr="00491993" w:rsidRDefault="004372ED" w:rsidP="00535C05">
            <w:pPr>
              <w:tabs>
                <w:tab w:val="left" w:pos="567"/>
              </w:tabs>
              <w:spacing w:after="60"/>
              <w:rPr>
                <w:rFonts w:ascii="Times New Roman" w:hAnsi="Times New Roman"/>
                <w:sz w:val="20"/>
                <w:szCs w:val="20"/>
                <w:lang w:val="sr-Cyrl-CS"/>
              </w:rPr>
            </w:pPr>
            <w:r>
              <w:rPr>
                <w:rFonts w:ascii="Times New Roman" w:hAnsi="Times New Roman"/>
                <w:sz w:val="20"/>
                <w:szCs w:val="20"/>
                <w:lang w:val="sr-Cyrl-CS"/>
              </w:rPr>
              <w:t>Доцент</w:t>
            </w:r>
          </w:p>
        </w:tc>
      </w:tr>
      <w:tr w:rsidR="00491993" w:rsidRPr="00491993" w14:paraId="664B391A" w14:textId="77777777" w:rsidTr="00213E50">
        <w:trPr>
          <w:trHeight w:val="427"/>
        </w:trPr>
        <w:tc>
          <w:tcPr>
            <w:tcW w:w="4633" w:type="dxa"/>
            <w:gridSpan w:val="8"/>
            <w:vAlign w:val="center"/>
          </w:tcPr>
          <w:p w14:paraId="0E1562E4" w14:textId="77777777" w:rsidR="00491993" w:rsidRPr="00491993" w:rsidRDefault="00491993" w:rsidP="005C606F">
            <w:pPr>
              <w:tabs>
                <w:tab w:val="left" w:pos="567"/>
              </w:tabs>
              <w:rPr>
                <w:rFonts w:ascii="Times New Roman" w:hAnsi="Times New Roman"/>
                <w:b/>
                <w:sz w:val="20"/>
                <w:szCs w:val="20"/>
                <w:lang w:val="sr-Cyrl-CS"/>
              </w:rPr>
            </w:pPr>
            <w:r w:rsidRPr="00491993">
              <w:rPr>
                <w:rFonts w:ascii="Times New Roman" w:hAnsi="Times New Roman"/>
                <w:b/>
                <w:sz w:val="20"/>
                <w:szCs w:val="20"/>
                <w:lang w:val="sr-Cyrl-CS"/>
              </w:rPr>
              <w:t xml:space="preserve">Назив институције у  којој наставник ради са пуним </w:t>
            </w:r>
            <w:r>
              <w:rPr>
                <w:rFonts w:ascii="Times New Roman" w:hAnsi="Times New Roman"/>
                <w:b/>
                <w:sz w:val="20"/>
                <w:szCs w:val="20"/>
              </w:rPr>
              <w:t xml:space="preserve"> или непуним </w:t>
            </w:r>
            <w:r w:rsidRPr="00491993">
              <w:rPr>
                <w:rFonts w:ascii="Times New Roman" w:hAnsi="Times New Roman"/>
                <w:b/>
                <w:sz w:val="20"/>
                <w:szCs w:val="20"/>
                <w:lang w:val="sr-Cyrl-CS"/>
              </w:rPr>
              <w:t>радним временом и од када</w:t>
            </w:r>
          </w:p>
        </w:tc>
        <w:tc>
          <w:tcPr>
            <w:tcW w:w="5717" w:type="dxa"/>
            <w:gridSpan w:val="6"/>
            <w:vAlign w:val="center"/>
          </w:tcPr>
          <w:p w14:paraId="657F78D4" w14:textId="3BB94BC7" w:rsidR="00491993" w:rsidRPr="00491993" w:rsidRDefault="004372ED" w:rsidP="005C606F">
            <w:pPr>
              <w:tabs>
                <w:tab w:val="left" w:pos="567"/>
              </w:tabs>
              <w:rPr>
                <w:rFonts w:ascii="Times New Roman" w:hAnsi="Times New Roman"/>
                <w:sz w:val="20"/>
                <w:szCs w:val="20"/>
                <w:lang w:val="sr-Cyrl-CS"/>
              </w:rPr>
            </w:pPr>
            <w:r>
              <w:rPr>
                <w:rFonts w:ascii="Times New Roman" w:hAnsi="Times New Roman"/>
                <w:sz w:val="20"/>
                <w:szCs w:val="20"/>
                <w:lang w:val="sr-Cyrl-CS"/>
              </w:rPr>
              <w:t>Универзитет у Нишу, Грађевинско-архитектонски факултет</w:t>
            </w:r>
          </w:p>
        </w:tc>
      </w:tr>
      <w:tr w:rsidR="00491993" w:rsidRPr="00491993" w14:paraId="75F2CC08" w14:textId="77777777" w:rsidTr="00213E50">
        <w:trPr>
          <w:trHeight w:val="427"/>
        </w:trPr>
        <w:tc>
          <w:tcPr>
            <w:tcW w:w="4633" w:type="dxa"/>
            <w:gridSpan w:val="8"/>
            <w:vAlign w:val="center"/>
          </w:tcPr>
          <w:p w14:paraId="6EDA7D59" w14:textId="77777777" w:rsidR="00491993" w:rsidRPr="00491993" w:rsidRDefault="00491993" w:rsidP="00535C05">
            <w:pPr>
              <w:tabs>
                <w:tab w:val="left" w:pos="567"/>
              </w:tabs>
              <w:spacing w:after="60"/>
              <w:rPr>
                <w:rFonts w:ascii="Times New Roman" w:hAnsi="Times New Roman"/>
                <w:b/>
                <w:sz w:val="20"/>
                <w:szCs w:val="20"/>
                <w:lang w:val="sr-Cyrl-CS"/>
              </w:rPr>
            </w:pPr>
            <w:r w:rsidRPr="00491993">
              <w:rPr>
                <w:rFonts w:ascii="Times New Roman" w:hAnsi="Times New Roman"/>
                <w:b/>
                <w:sz w:val="20"/>
                <w:szCs w:val="20"/>
                <w:lang w:val="sr-Cyrl-CS"/>
              </w:rPr>
              <w:t>Ужа научна односно уметничка област</w:t>
            </w:r>
          </w:p>
        </w:tc>
        <w:tc>
          <w:tcPr>
            <w:tcW w:w="5717" w:type="dxa"/>
            <w:gridSpan w:val="6"/>
            <w:vAlign w:val="center"/>
          </w:tcPr>
          <w:p w14:paraId="4F07B68B" w14:textId="27558A99" w:rsidR="00491993" w:rsidRPr="00491993" w:rsidRDefault="00342149" w:rsidP="00535C05">
            <w:pPr>
              <w:tabs>
                <w:tab w:val="left" w:pos="567"/>
              </w:tabs>
              <w:spacing w:after="60"/>
              <w:rPr>
                <w:rFonts w:ascii="Times New Roman" w:hAnsi="Times New Roman"/>
                <w:sz w:val="20"/>
                <w:szCs w:val="20"/>
                <w:lang w:val="sr-Cyrl-CS"/>
              </w:rPr>
            </w:pPr>
            <w:r>
              <w:rPr>
                <w:rFonts w:ascii="Times New Roman" w:hAnsi="Times New Roman"/>
                <w:sz w:val="20"/>
                <w:szCs w:val="20"/>
                <w:lang w:val="sr-Cyrl-CS"/>
              </w:rPr>
              <w:t>Саобраћајнице</w:t>
            </w:r>
          </w:p>
        </w:tc>
      </w:tr>
      <w:tr w:rsidR="00491993" w:rsidRPr="00491993" w14:paraId="1B62D2FD" w14:textId="77777777" w:rsidTr="005C606F">
        <w:trPr>
          <w:trHeight w:val="284"/>
        </w:trPr>
        <w:tc>
          <w:tcPr>
            <w:tcW w:w="10350" w:type="dxa"/>
            <w:gridSpan w:val="14"/>
            <w:vAlign w:val="center"/>
          </w:tcPr>
          <w:p w14:paraId="7E8A516E" w14:textId="77777777" w:rsidR="00491993" w:rsidRPr="00491993" w:rsidRDefault="00491993" w:rsidP="00535C05">
            <w:pPr>
              <w:tabs>
                <w:tab w:val="left" w:pos="567"/>
              </w:tabs>
              <w:spacing w:after="60"/>
              <w:rPr>
                <w:rFonts w:ascii="Times New Roman" w:hAnsi="Times New Roman"/>
                <w:b/>
                <w:sz w:val="20"/>
                <w:szCs w:val="20"/>
                <w:lang w:val="sr-Cyrl-CS"/>
              </w:rPr>
            </w:pPr>
            <w:r w:rsidRPr="00491993">
              <w:rPr>
                <w:rFonts w:ascii="Times New Roman" w:hAnsi="Times New Roman"/>
                <w:b/>
                <w:sz w:val="20"/>
                <w:szCs w:val="20"/>
                <w:lang w:val="sr-Cyrl-CS"/>
              </w:rPr>
              <w:t>Академска каријера</w:t>
            </w:r>
          </w:p>
        </w:tc>
      </w:tr>
      <w:tr w:rsidR="00AC0E94" w:rsidRPr="005C606F" w14:paraId="49280289" w14:textId="77777777" w:rsidTr="005C606F">
        <w:trPr>
          <w:trHeight w:val="20"/>
        </w:trPr>
        <w:tc>
          <w:tcPr>
            <w:tcW w:w="1560" w:type="dxa"/>
            <w:gridSpan w:val="3"/>
            <w:vAlign w:val="center"/>
          </w:tcPr>
          <w:p w14:paraId="3944E849" w14:textId="77777777" w:rsidR="00AC0E94" w:rsidRPr="005C606F" w:rsidRDefault="00AC0E94" w:rsidP="00535C05">
            <w:pPr>
              <w:tabs>
                <w:tab w:val="left" w:pos="567"/>
              </w:tabs>
              <w:spacing w:after="60"/>
              <w:rPr>
                <w:rFonts w:ascii="Times New Roman" w:hAnsi="Times New Roman"/>
                <w:sz w:val="18"/>
                <w:szCs w:val="18"/>
                <w:lang w:val="sr-Cyrl-CS"/>
              </w:rPr>
            </w:pPr>
          </w:p>
        </w:tc>
        <w:tc>
          <w:tcPr>
            <w:tcW w:w="850" w:type="dxa"/>
            <w:gridSpan w:val="2"/>
            <w:vAlign w:val="center"/>
          </w:tcPr>
          <w:p w14:paraId="23901116" w14:textId="77777777" w:rsidR="00AC0E94" w:rsidRPr="005C606F" w:rsidRDefault="00AC0E94" w:rsidP="00535C0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 xml:space="preserve">Година </w:t>
            </w:r>
          </w:p>
        </w:tc>
        <w:tc>
          <w:tcPr>
            <w:tcW w:w="2552" w:type="dxa"/>
            <w:gridSpan w:val="4"/>
            <w:shd w:val="clear" w:color="auto" w:fill="auto"/>
            <w:vAlign w:val="center"/>
          </w:tcPr>
          <w:p w14:paraId="68EC474A" w14:textId="77777777" w:rsidR="00AC0E94" w:rsidRPr="005C606F" w:rsidRDefault="00AC0E94" w:rsidP="00535C0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 xml:space="preserve">Институција </w:t>
            </w:r>
          </w:p>
        </w:tc>
        <w:tc>
          <w:tcPr>
            <w:tcW w:w="2126" w:type="dxa"/>
            <w:gridSpan w:val="3"/>
            <w:shd w:val="clear" w:color="auto" w:fill="auto"/>
            <w:vAlign w:val="center"/>
          </w:tcPr>
          <w:p w14:paraId="4B77DAF7" w14:textId="77777777" w:rsidR="00AC0E94" w:rsidRPr="005C606F" w:rsidRDefault="00AC0E94" w:rsidP="00535C05">
            <w:pPr>
              <w:tabs>
                <w:tab w:val="left" w:pos="567"/>
              </w:tabs>
              <w:spacing w:after="60"/>
              <w:rPr>
                <w:rFonts w:ascii="Times New Roman" w:hAnsi="Times New Roman"/>
                <w:sz w:val="18"/>
                <w:szCs w:val="18"/>
                <w:lang w:val="sr-Cyrl-CS"/>
              </w:rPr>
            </w:pPr>
            <w:r w:rsidRPr="005C606F">
              <w:rPr>
                <w:rFonts w:ascii="Times New Roman" w:hAnsi="Times New Roman"/>
                <w:sz w:val="18"/>
                <w:szCs w:val="18"/>
              </w:rPr>
              <w:t>Научна или уметничка о</w:t>
            </w:r>
            <w:r w:rsidRPr="005C606F">
              <w:rPr>
                <w:rFonts w:ascii="Times New Roman" w:hAnsi="Times New Roman"/>
                <w:sz w:val="18"/>
                <w:szCs w:val="18"/>
                <w:lang w:val="sr-Cyrl-CS"/>
              </w:rPr>
              <w:t xml:space="preserve">бласт </w:t>
            </w:r>
          </w:p>
        </w:tc>
        <w:tc>
          <w:tcPr>
            <w:tcW w:w="3262" w:type="dxa"/>
            <w:gridSpan w:val="2"/>
            <w:shd w:val="clear" w:color="auto" w:fill="auto"/>
            <w:vAlign w:val="center"/>
          </w:tcPr>
          <w:p w14:paraId="501823F3" w14:textId="77777777" w:rsidR="00AC0E94" w:rsidRPr="005C606F" w:rsidRDefault="00AC0E94" w:rsidP="00535C05">
            <w:pPr>
              <w:tabs>
                <w:tab w:val="left" w:pos="567"/>
              </w:tabs>
              <w:spacing w:after="60"/>
              <w:rPr>
                <w:rFonts w:ascii="Times New Roman" w:hAnsi="Times New Roman"/>
                <w:sz w:val="18"/>
                <w:szCs w:val="18"/>
              </w:rPr>
            </w:pPr>
            <w:r w:rsidRPr="005C606F">
              <w:rPr>
                <w:rFonts w:ascii="Times New Roman" w:hAnsi="Times New Roman"/>
                <w:sz w:val="18"/>
                <w:szCs w:val="18"/>
              </w:rPr>
              <w:t>Ужа научна, уметничка или стручна област</w:t>
            </w:r>
          </w:p>
        </w:tc>
      </w:tr>
      <w:tr w:rsidR="00AC0E94" w:rsidRPr="005C606F" w14:paraId="445F3D77" w14:textId="77777777" w:rsidTr="005C606F">
        <w:trPr>
          <w:trHeight w:val="20"/>
        </w:trPr>
        <w:tc>
          <w:tcPr>
            <w:tcW w:w="1560" w:type="dxa"/>
            <w:gridSpan w:val="3"/>
            <w:vAlign w:val="center"/>
          </w:tcPr>
          <w:p w14:paraId="1EF612C5" w14:textId="77777777" w:rsidR="00AC0E94" w:rsidRPr="005C606F" w:rsidRDefault="00AC0E94" w:rsidP="00535C0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Избор у звање</w:t>
            </w:r>
          </w:p>
        </w:tc>
        <w:tc>
          <w:tcPr>
            <w:tcW w:w="850" w:type="dxa"/>
            <w:gridSpan w:val="2"/>
            <w:vAlign w:val="center"/>
          </w:tcPr>
          <w:p w14:paraId="613AD09A" w14:textId="11156500" w:rsidR="00AC0E94" w:rsidRPr="005C606F" w:rsidRDefault="00996DA5" w:rsidP="00535C0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2016.</w:t>
            </w:r>
          </w:p>
        </w:tc>
        <w:tc>
          <w:tcPr>
            <w:tcW w:w="2552" w:type="dxa"/>
            <w:gridSpan w:val="4"/>
            <w:shd w:val="clear" w:color="auto" w:fill="auto"/>
            <w:vAlign w:val="center"/>
          </w:tcPr>
          <w:p w14:paraId="28619743" w14:textId="1B08FEB3" w:rsidR="00AC0E94" w:rsidRPr="005C606F" w:rsidRDefault="00996DA5" w:rsidP="00535C0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Универзитет у Нишу</w:t>
            </w:r>
          </w:p>
        </w:tc>
        <w:tc>
          <w:tcPr>
            <w:tcW w:w="2126" w:type="dxa"/>
            <w:gridSpan w:val="3"/>
            <w:shd w:val="clear" w:color="auto" w:fill="auto"/>
            <w:vAlign w:val="center"/>
          </w:tcPr>
          <w:p w14:paraId="42F4ADB9" w14:textId="7AB885C5" w:rsidR="00AC0E94" w:rsidRPr="005C606F" w:rsidRDefault="00996DA5" w:rsidP="00535C0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Грађевинарство</w:t>
            </w:r>
          </w:p>
        </w:tc>
        <w:tc>
          <w:tcPr>
            <w:tcW w:w="3262" w:type="dxa"/>
            <w:gridSpan w:val="2"/>
            <w:shd w:val="clear" w:color="auto" w:fill="auto"/>
            <w:vAlign w:val="center"/>
          </w:tcPr>
          <w:p w14:paraId="3FB95784" w14:textId="1EABCE23" w:rsidR="00AC0E94" w:rsidRPr="005C606F" w:rsidRDefault="00996DA5" w:rsidP="00535C0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Саобраћајнице</w:t>
            </w:r>
          </w:p>
        </w:tc>
      </w:tr>
      <w:tr w:rsidR="00996DA5" w:rsidRPr="005C606F" w14:paraId="67B6A975" w14:textId="77777777" w:rsidTr="005C606F">
        <w:trPr>
          <w:trHeight w:val="20"/>
        </w:trPr>
        <w:tc>
          <w:tcPr>
            <w:tcW w:w="1560" w:type="dxa"/>
            <w:gridSpan w:val="3"/>
            <w:vAlign w:val="center"/>
          </w:tcPr>
          <w:p w14:paraId="14C5E842" w14:textId="77777777" w:rsidR="00996DA5" w:rsidRPr="005C606F" w:rsidRDefault="00996DA5" w:rsidP="00996DA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Докторат</w:t>
            </w:r>
          </w:p>
        </w:tc>
        <w:tc>
          <w:tcPr>
            <w:tcW w:w="850" w:type="dxa"/>
            <w:gridSpan w:val="2"/>
            <w:vAlign w:val="center"/>
          </w:tcPr>
          <w:p w14:paraId="076BE048" w14:textId="5371BA5B" w:rsidR="00996DA5" w:rsidRPr="005C606F" w:rsidRDefault="00996DA5" w:rsidP="00996DA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2014.</w:t>
            </w:r>
          </w:p>
        </w:tc>
        <w:tc>
          <w:tcPr>
            <w:tcW w:w="2552" w:type="dxa"/>
            <w:gridSpan w:val="4"/>
            <w:shd w:val="clear" w:color="auto" w:fill="auto"/>
            <w:vAlign w:val="center"/>
          </w:tcPr>
          <w:p w14:paraId="5087D564" w14:textId="60EEE190" w:rsidR="00996DA5" w:rsidRPr="005C606F" w:rsidRDefault="00996DA5" w:rsidP="00996DA5">
            <w:pPr>
              <w:tabs>
                <w:tab w:val="left" w:pos="567"/>
              </w:tabs>
              <w:spacing w:after="60"/>
              <w:rPr>
                <w:rFonts w:ascii="Times New Roman" w:hAnsi="Times New Roman"/>
                <w:sz w:val="18"/>
                <w:szCs w:val="18"/>
                <w:lang w:val="en-GB"/>
              </w:rPr>
            </w:pPr>
            <w:r w:rsidRPr="005C606F">
              <w:rPr>
                <w:rFonts w:ascii="Times New Roman" w:hAnsi="Times New Roman"/>
                <w:sz w:val="18"/>
                <w:szCs w:val="18"/>
                <w:lang w:val="en-GB"/>
              </w:rPr>
              <w:t>Ruhr-</w:t>
            </w:r>
            <w:proofErr w:type="spellStart"/>
            <w:r w:rsidRPr="005C606F">
              <w:rPr>
                <w:rFonts w:ascii="Times New Roman" w:hAnsi="Times New Roman"/>
                <w:sz w:val="18"/>
                <w:szCs w:val="18"/>
                <w:lang w:val="en-GB"/>
              </w:rPr>
              <w:t>Universität</w:t>
            </w:r>
            <w:proofErr w:type="spellEnd"/>
            <w:r w:rsidRPr="005C606F">
              <w:rPr>
                <w:rFonts w:ascii="Times New Roman" w:hAnsi="Times New Roman"/>
                <w:sz w:val="18"/>
                <w:szCs w:val="18"/>
                <w:lang w:val="en-GB"/>
              </w:rPr>
              <w:t xml:space="preserve"> Bochum</w:t>
            </w:r>
          </w:p>
        </w:tc>
        <w:tc>
          <w:tcPr>
            <w:tcW w:w="2126" w:type="dxa"/>
            <w:gridSpan w:val="3"/>
            <w:shd w:val="clear" w:color="auto" w:fill="auto"/>
            <w:vAlign w:val="center"/>
          </w:tcPr>
          <w:p w14:paraId="06122FC1" w14:textId="44CB6FD7" w:rsidR="00996DA5" w:rsidRPr="005C606F" w:rsidRDefault="00996DA5" w:rsidP="00996DA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Грађевинарство</w:t>
            </w:r>
          </w:p>
        </w:tc>
        <w:tc>
          <w:tcPr>
            <w:tcW w:w="3262" w:type="dxa"/>
            <w:gridSpan w:val="2"/>
            <w:shd w:val="clear" w:color="auto" w:fill="auto"/>
            <w:vAlign w:val="center"/>
          </w:tcPr>
          <w:p w14:paraId="02BEAB1A" w14:textId="4B8E70A2" w:rsidR="00996DA5" w:rsidRPr="005C606F" w:rsidRDefault="00996DA5" w:rsidP="00996DA5">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w:t>
            </w:r>
          </w:p>
        </w:tc>
      </w:tr>
      <w:tr w:rsidR="00532D97" w:rsidRPr="005C606F" w14:paraId="6B2AD850" w14:textId="77777777" w:rsidTr="005C606F">
        <w:trPr>
          <w:trHeight w:val="20"/>
        </w:trPr>
        <w:tc>
          <w:tcPr>
            <w:tcW w:w="1560" w:type="dxa"/>
            <w:gridSpan w:val="3"/>
            <w:vAlign w:val="center"/>
          </w:tcPr>
          <w:p w14:paraId="217F93BD" w14:textId="77777777" w:rsidR="00532D97" w:rsidRPr="005C606F" w:rsidRDefault="00532D97" w:rsidP="00532D97">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Диплома</w:t>
            </w:r>
          </w:p>
        </w:tc>
        <w:tc>
          <w:tcPr>
            <w:tcW w:w="850" w:type="dxa"/>
            <w:gridSpan w:val="2"/>
            <w:vAlign w:val="center"/>
          </w:tcPr>
          <w:p w14:paraId="36538B2F" w14:textId="47227C5C" w:rsidR="00532D97" w:rsidRPr="005C606F" w:rsidRDefault="00532D97" w:rsidP="00532D97">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2008.</w:t>
            </w:r>
          </w:p>
        </w:tc>
        <w:tc>
          <w:tcPr>
            <w:tcW w:w="2552" w:type="dxa"/>
            <w:gridSpan w:val="4"/>
            <w:shd w:val="clear" w:color="auto" w:fill="auto"/>
            <w:vAlign w:val="center"/>
          </w:tcPr>
          <w:p w14:paraId="3E0F5587" w14:textId="7100F966" w:rsidR="00532D97" w:rsidRPr="005C606F" w:rsidRDefault="00532D97" w:rsidP="00532D97">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Универзитет у Нишу</w:t>
            </w:r>
          </w:p>
        </w:tc>
        <w:tc>
          <w:tcPr>
            <w:tcW w:w="2126" w:type="dxa"/>
            <w:gridSpan w:val="3"/>
            <w:shd w:val="clear" w:color="auto" w:fill="auto"/>
            <w:vAlign w:val="center"/>
          </w:tcPr>
          <w:p w14:paraId="6D50F282" w14:textId="28F19FA0" w:rsidR="00532D97" w:rsidRPr="005C606F" w:rsidRDefault="00532D97" w:rsidP="00532D97">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Грађевинарство</w:t>
            </w:r>
          </w:p>
        </w:tc>
        <w:tc>
          <w:tcPr>
            <w:tcW w:w="3262" w:type="dxa"/>
            <w:gridSpan w:val="2"/>
            <w:shd w:val="clear" w:color="auto" w:fill="auto"/>
            <w:vAlign w:val="center"/>
          </w:tcPr>
          <w:p w14:paraId="55745698" w14:textId="6F4E9E9A" w:rsidR="00532D97" w:rsidRPr="005C606F" w:rsidRDefault="00532D97" w:rsidP="00532D97">
            <w:pPr>
              <w:tabs>
                <w:tab w:val="left" w:pos="567"/>
              </w:tabs>
              <w:spacing w:after="60"/>
              <w:rPr>
                <w:rFonts w:ascii="Times New Roman" w:hAnsi="Times New Roman"/>
                <w:sz w:val="18"/>
                <w:szCs w:val="18"/>
                <w:lang w:val="sr-Cyrl-CS"/>
              </w:rPr>
            </w:pPr>
            <w:r w:rsidRPr="005C606F">
              <w:rPr>
                <w:rFonts w:ascii="Times New Roman" w:hAnsi="Times New Roman"/>
                <w:sz w:val="18"/>
                <w:szCs w:val="18"/>
                <w:lang w:val="sr-Cyrl-CS"/>
              </w:rPr>
              <w:t>Саобраћајно-конструкторски смер</w:t>
            </w:r>
          </w:p>
        </w:tc>
      </w:tr>
      <w:tr w:rsidR="00532D97" w:rsidRPr="00491993" w14:paraId="139B887F" w14:textId="77777777" w:rsidTr="00213E50">
        <w:trPr>
          <w:trHeight w:val="427"/>
        </w:trPr>
        <w:tc>
          <w:tcPr>
            <w:tcW w:w="10350" w:type="dxa"/>
            <w:gridSpan w:val="14"/>
            <w:vAlign w:val="center"/>
          </w:tcPr>
          <w:p w14:paraId="65B95FC2" w14:textId="2C64568E" w:rsidR="00532D97" w:rsidRPr="00AC0E94" w:rsidRDefault="00532D97" w:rsidP="00532D97">
            <w:pPr>
              <w:tabs>
                <w:tab w:val="left" w:pos="567"/>
              </w:tabs>
              <w:spacing w:after="60"/>
              <w:rPr>
                <w:rFonts w:ascii="Times New Roman" w:hAnsi="Times New Roman"/>
                <w:b/>
                <w:sz w:val="20"/>
                <w:szCs w:val="20"/>
              </w:rPr>
            </w:pPr>
            <w:r w:rsidRPr="00491993">
              <w:rPr>
                <w:rFonts w:ascii="Times New Roman" w:hAnsi="Times New Roman"/>
                <w:b/>
                <w:sz w:val="20"/>
                <w:szCs w:val="20"/>
                <w:lang w:val="sr-Cyrl-CS"/>
              </w:rPr>
              <w:t>Списак предмета</w:t>
            </w:r>
            <w:r>
              <w:rPr>
                <w:rFonts w:ascii="Times New Roman" w:hAnsi="Times New Roman"/>
                <w:b/>
                <w:sz w:val="20"/>
                <w:szCs w:val="20"/>
                <w:lang w:val="sr-Cyrl-CS"/>
              </w:rPr>
              <w:t xml:space="preserve"> за </w:t>
            </w:r>
            <w:r w:rsidRPr="00491993">
              <w:rPr>
                <w:rFonts w:ascii="Times New Roman" w:hAnsi="Times New Roman"/>
                <w:b/>
                <w:sz w:val="20"/>
                <w:szCs w:val="20"/>
                <w:lang w:val="sr-Cyrl-CS"/>
              </w:rPr>
              <w:t xml:space="preserve"> које </w:t>
            </w:r>
            <w:r>
              <w:rPr>
                <w:rFonts w:ascii="Times New Roman" w:hAnsi="Times New Roman"/>
                <w:b/>
                <w:sz w:val="20"/>
                <w:szCs w:val="20"/>
                <w:lang w:val="sr-Cyrl-CS"/>
              </w:rPr>
              <w:t xml:space="preserve">је </w:t>
            </w:r>
            <w:r w:rsidRPr="00491993">
              <w:rPr>
                <w:rFonts w:ascii="Times New Roman" w:hAnsi="Times New Roman"/>
                <w:b/>
                <w:sz w:val="20"/>
                <w:szCs w:val="20"/>
                <w:lang w:val="sr-Cyrl-CS"/>
              </w:rPr>
              <w:t>наставник</w:t>
            </w:r>
            <w:r>
              <w:rPr>
                <w:rFonts w:ascii="Times New Roman" w:hAnsi="Times New Roman"/>
                <w:b/>
                <w:sz w:val="20"/>
                <w:szCs w:val="20"/>
                <w:lang w:val="sr-Cyrl-CS"/>
              </w:rPr>
              <w:t xml:space="preserve"> акредитован </w:t>
            </w:r>
            <w:r>
              <w:rPr>
                <w:rFonts w:ascii="Times New Roman" w:hAnsi="Times New Roman"/>
                <w:b/>
                <w:sz w:val="20"/>
                <w:szCs w:val="20"/>
              </w:rPr>
              <w:t>на првом или другом степену студија</w:t>
            </w:r>
            <w:bookmarkStart w:id="0" w:name="_GoBack"/>
            <w:bookmarkEnd w:id="0"/>
          </w:p>
        </w:tc>
      </w:tr>
      <w:tr w:rsidR="00532D97" w:rsidRPr="00491993" w14:paraId="64CEBA6F" w14:textId="77777777" w:rsidTr="005C606F">
        <w:trPr>
          <w:trHeight w:val="20"/>
        </w:trPr>
        <w:tc>
          <w:tcPr>
            <w:tcW w:w="567" w:type="dxa"/>
            <w:gridSpan w:val="2"/>
            <w:shd w:val="clear" w:color="auto" w:fill="auto"/>
            <w:vAlign w:val="center"/>
          </w:tcPr>
          <w:p w14:paraId="5AE7BBBC" w14:textId="2E65AC75" w:rsidR="00532D97" w:rsidRPr="005C606F" w:rsidRDefault="00532D97" w:rsidP="005C606F">
            <w:pPr>
              <w:tabs>
                <w:tab w:val="left" w:pos="567"/>
              </w:tabs>
              <w:rPr>
                <w:rFonts w:ascii="Times New Roman" w:hAnsi="Times New Roman"/>
                <w:sz w:val="20"/>
                <w:szCs w:val="20"/>
                <w:lang w:val="sr-Latn-RS"/>
              </w:rPr>
            </w:pPr>
            <w:r w:rsidRPr="00491993">
              <w:rPr>
                <w:rFonts w:ascii="Times New Roman" w:hAnsi="Times New Roman"/>
                <w:sz w:val="20"/>
                <w:szCs w:val="20"/>
                <w:lang w:val="sr-Cyrl-CS"/>
              </w:rPr>
              <w:t>Р.Б.</w:t>
            </w:r>
          </w:p>
        </w:tc>
        <w:tc>
          <w:tcPr>
            <w:tcW w:w="1418" w:type="dxa"/>
            <w:gridSpan w:val="2"/>
            <w:shd w:val="clear" w:color="auto" w:fill="auto"/>
            <w:vAlign w:val="center"/>
          </w:tcPr>
          <w:p w14:paraId="0719F451" w14:textId="77777777" w:rsidR="00532D97" w:rsidRPr="00AC0E94" w:rsidRDefault="00532D97" w:rsidP="005C606F">
            <w:pPr>
              <w:tabs>
                <w:tab w:val="left" w:pos="567"/>
              </w:tabs>
              <w:rPr>
                <w:rFonts w:ascii="Times New Roman" w:hAnsi="Times New Roman"/>
                <w:sz w:val="20"/>
                <w:szCs w:val="20"/>
              </w:rPr>
            </w:pPr>
            <w:r>
              <w:rPr>
                <w:rFonts w:ascii="Times New Roman" w:hAnsi="Times New Roman"/>
                <w:sz w:val="20"/>
                <w:szCs w:val="20"/>
              </w:rPr>
              <w:t>Ознака предмета</w:t>
            </w:r>
          </w:p>
        </w:tc>
        <w:tc>
          <w:tcPr>
            <w:tcW w:w="2268" w:type="dxa"/>
            <w:gridSpan w:val="2"/>
            <w:shd w:val="clear" w:color="auto" w:fill="auto"/>
            <w:vAlign w:val="center"/>
          </w:tcPr>
          <w:p w14:paraId="09BE72D0" w14:textId="77777777" w:rsidR="00532D97" w:rsidRPr="00491993" w:rsidRDefault="00532D97" w:rsidP="005C606F">
            <w:pPr>
              <w:tabs>
                <w:tab w:val="left" w:pos="567"/>
              </w:tabs>
              <w:rPr>
                <w:rFonts w:ascii="Times New Roman" w:hAnsi="Times New Roman"/>
                <w:sz w:val="20"/>
                <w:szCs w:val="20"/>
                <w:lang w:val="sr-Cyrl-CS"/>
              </w:rPr>
            </w:pPr>
            <w:r>
              <w:rPr>
                <w:rFonts w:ascii="Times New Roman" w:hAnsi="Times New Roman"/>
                <w:iCs/>
                <w:sz w:val="20"/>
                <w:szCs w:val="20"/>
              </w:rPr>
              <w:t>Назив предмета</w:t>
            </w:r>
            <w:r w:rsidRPr="00491993">
              <w:rPr>
                <w:rFonts w:ascii="Times New Roman" w:hAnsi="Times New Roman"/>
                <w:iCs/>
                <w:sz w:val="20"/>
                <w:szCs w:val="20"/>
                <w:lang w:val="sr-Cyrl-CS"/>
              </w:rPr>
              <w:t xml:space="preserve">     </w:t>
            </w:r>
          </w:p>
        </w:tc>
        <w:tc>
          <w:tcPr>
            <w:tcW w:w="1843" w:type="dxa"/>
            <w:gridSpan w:val="4"/>
            <w:shd w:val="clear" w:color="auto" w:fill="auto"/>
            <w:vAlign w:val="center"/>
          </w:tcPr>
          <w:p w14:paraId="6A474F8E" w14:textId="77777777" w:rsidR="00532D97" w:rsidRPr="00AC0E94" w:rsidRDefault="00532D97" w:rsidP="005C606F">
            <w:pPr>
              <w:tabs>
                <w:tab w:val="left" w:pos="567"/>
              </w:tabs>
              <w:rPr>
                <w:rFonts w:ascii="Times New Roman" w:hAnsi="Times New Roman"/>
                <w:sz w:val="20"/>
                <w:szCs w:val="20"/>
              </w:rPr>
            </w:pPr>
            <w:r>
              <w:rPr>
                <w:rFonts w:ascii="Times New Roman" w:hAnsi="Times New Roman"/>
                <w:sz w:val="20"/>
                <w:szCs w:val="20"/>
              </w:rPr>
              <w:t>Вид наставе</w:t>
            </w:r>
          </w:p>
        </w:tc>
        <w:tc>
          <w:tcPr>
            <w:tcW w:w="2126" w:type="dxa"/>
            <w:gridSpan w:val="3"/>
            <w:shd w:val="clear" w:color="auto" w:fill="auto"/>
            <w:vAlign w:val="center"/>
          </w:tcPr>
          <w:p w14:paraId="4CC3EB0E" w14:textId="77777777" w:rsidR="00532D97" w:rsidRPr="00AC0E94" w:rsidRDefault="00532D97" w:rsidP="005C606F">
            <w:pPr>
              <w:tabs>
                <w:tab w:val="left" w:pos="567"/>
              </w:tabs>
              <w:rPr>
                <w:rFonts w:ascii="Times New Roman" w:hAnsi="Times New Roman"/>
                <w:sz w:val="20"/>
                <w:szCs w:val="20"/>
              </w:rPr>
            </w:pPr>
            <w:r>
              <w:rPr>
                <w:rFonts w:ascii="Times New Roman" w:hAnsi="Times New Roman"/>
                <w:iCs/>
                <w:sz w:val="20"/>
                <w:szCs w:val="20"/>
              </w:rPr>
              <w:t xml:space="preserve">Назив студијског програма </w:t>
            </w:r>
          </w:p>
        </w:tc>
        <w:tc>
          <w:tcPr>
            <w:tcW w:w="2128" w:type="dxa"/>
            <w:shd w:val="clear" w:color="auto" w:fill="auto"/>
            <w:vAlign w:val="center"/>
          </w:tcPr>
          <w:p w14:paraId="131D4437" w14:textId="77777777" w:rsidR="00532D97" w:rsidRPr="00491993" w:rsidRDefault="00532D97" w:rsidP="005C606F">
            <w:pPr>
              <w:tabs>
                <w:tab w:val="left" w:pos="567"/>
              </w:tabs>
              <w:rPr>
                <w:rFonts w:ascii="Times New Roman" w:hAnsi="Times New Roman"/>
                <w:sz w:val="20"/>
                <w:szCs w:val="20"/>
                <w:lang w:val="sr-Cyrl-CS"/>
              </w:rPr>
            </w:pPr>
            <w:r>
              <w:rPr>
                <w:rFonts w:ascii="Times New Roman" w:hAnsi="Times New Roman"/>
                <w:iCs/>
                <w:sz w:val="20"/>
                <w:szCs w:val="20"/>
              </w:rPr>
              <w:t>В</w:t>
            </w:r>
            <w:r w:rsidRPr="00491993">
              <w:rPr>
                <w:rFonts w:ascii="Times New Roman" w:hAnsi="Times New Roman"/>
                <w:iCs/>
                <w:sz w:val="20"/>
                <w:szCs w:val="20"/>
                <w:lang w:val="sr-Cyrl-CS"/>
              </w:rPr>
              <w:t>рста студија</w:t>
            </w:r>
            <w:r>
              <w:rPr>
                <w:rFonts w:ascii="Times New Roman" w:hAnsi="Times New Roman"/>
                <w:iCs/>
                <w:sz w:val="20"/>
                <w:szCs w:val="20"/>
                <w:lang w:val="sr-Cyrl-CS"/>
              </w:rPr>
              <w:t xml:space="preserve"> (</w:t>
            </w:r>
            <w:r>
              <w:rPr>
                <w:rFonts w:ascii="Times New Roman" w:hAnsi="Times New Roman"/>
                <w:iCs/>
                <w:sz w:val="20"/>
                <w:szCs w:val="20"/>
              </w:rPr>
              <w:t>ОСС, ССС, ОАС, МСС, МАС, САС)</w:t>
            </w:r>
          </w:p>
        </w:tc>
      </w:tr>
      <w:tr w:rsidR="00532D97" w:rsidRPr="005C606F" w14:paraId="7497FD78" w14:textId="77777777" w:rsidTr="005C606F">
        <w:trPr>
          <w:trHeight w:val="20"/>
        </w:trPr>
        <w:tc>
          <w:tcPr>
            <w:tcW w:w="567" w:type="dxa"/>
            <w:gridSpan w:val="2"/>
            <w:shd w:val="clear" w:color="auto" w:fill="auto"/>
            <w:vAlign w:val="center"/>
          </w:tcPr>
          <w:p w14:paraId="69D326F6" w14:textId="5ACB59C9" w:rsidR="00532D97"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1</w:t>
            </w:r>
          </w:p>
        </w:tc>
        <w:tc>
          <w:tcPr>
            <w:tcW w:w="1418" w:type="dxa"/>
            <w:gridSpan w:val="2"/>
            <w:shd w:val="clear" w:color="auto" w:fill="auto"/>
            <w:vAlign w:val="center"/>
          </w:tcPr>
          <w:p w14:paraId="648AA81F" w14:textId="00FFC62E" w:rsidR="00532D97"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19OG1003</w:t>
            </w:r>
          </w:p>
        </w:tc>
        <w:tc>
          <w:tcPr>
            <w:tcW w:w="2268" w:type="dxa"/>
            <w:gridSpan w:val="2"/>
            <w:shd w:val="clear" w:color="auto" w:fill="auto"/>
            <w:vAlign w:val="center"/>
          </w:tcPr>
          <w:p w14:paraId="366097A9" w14:textId="360D7F71" w:rsidR="00532D97"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Земљани радови</w:t>
            </w:r>
          </w:p>
        </w:tc>
        <w:tc>
          <w:tcPr>
            <w:tcW w:w="1843" w:type="dxa"/>
            <w:gridSpan w:val="4"/>
            <w:shd w:val="clear" w:color="auto" w:fill="auto"/>
            <w:vAlign w:val="center"/>
          </w:tcPr>
          <w:p w14:paraId="32A7058A" w14:textId="1B71A255" w:rsidR="00532D97"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Предавања</w:t>
            </w:r>
          </w:p>
        </w:tc>
        <w:tc>
          <w:tcPr>
            <w:tcW w:w="2126" w:type="dxa"/>
            <w:gridSpan w:val="3"/>
            <w:shd w:val="clear" w:color="auto" w:fill="auto"/>
            <w:vAlign w:val="center"/>
          </w:tcPr>
          <w:p w14:paraId="4C8C3C20" w14:textId="37057C55" w:rsidR="00532D97"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Грађевинарство</w:t>
            </w:r>
          </w:p>
        </w:tc>
        <w:tc>
          <w:tcPr>
            <w:tcW w:w="2128" w:type="dxa"/>
            <w:shd w:val="clear" w:color="auto" w:fill="auto"/>
            <w:vAlign w:val="center"/>
          </w:tcPr>
          <w:p w14:paraId="3AEB6BEC" w14:textId="5F8DB7A7" w:rsidR="00532D97"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ОАС</w:t>
            </w:r>
          </w:p>
        </w:tc>
      </w:tr>
      <w:tr w:rsidR="005A5064" w:rsidRPr="005C606F" w14:paraId="3CC45E35" w14:textId="77777777" w:rsidTr="005C606F">
        <w:trPr>
          <w:trHeight w:val="20"/>
        </w:trPr>
        <w:tc>
          <w:tcPr>
            <w:tcW w:w="567" w:type="dxa"/>
            <w:gridSpan w:val="2"/>
            <w:shd w:val="clear" w:color="auto" w:fill="auto"/>
            <w:vAlign w:val="center"/>
          </w:tcPr>
          <w:p w14:paraId="05E3E267" w14:textId="464055E0"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2</w:t>
            </w:r>
          </w:p>
        </w:tc>
        <w:tc>
          <w:tcPr>
            <w:tcW w:w="1418" w:type="dxa"/>
            <w:gridSpan w:val="2"/>
            <w:shd w:val="clear" w:color="auto" w:fill="auto"/>
            <w:vAlign w:val="center"/>
          </w:tcPr>
          <w:p w14:paraId="12713BFF" w14:textId="6F627BB2"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19OG2020</w:t>
            </w:r>
          </w:p>
        </w:tc>
        <w:tc>
          <w:tcPr>
            <w:tcW w:w="2268" w:type="dxa"/>
            <w:gridSpan w:val="2"/>
            <w:shd w:val="clear" w:color="auto" w:fill="auto"/>
            <w:vAlign w:val="center"/>
          </w:tcPr>
          <w:p w14:paraId="1D17706B" w14:textId="23FD9AC2"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Основе саобраћајница</w:t>
            </w:r>
          </w:p>
        </w:tc>
        <w:tc>
          <w:tcPr>
            <w:tcW w:w="1843" w:type="dxa"/>
            <w:gridSpan w:val="4"/>
            <w:shd w:val="clear" w:color="auto" w:fill="auto"/>
            <w:vAlign w:val="center"/>
          </w:tcPr>
          <w:p w14:paraId="274076FD" w14:textId="46250A62"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Предавања</w:t>
            </w:r>
          </w:p>
        </w:tc>
        <w:tc>
          <w:tcPr>
            <w:tcW w:w="2126" w:type="dxa"/>
            <w:gridSpan w:val="3"/>
            <w:shd w:val="clear" w:color="auto" w:fill="auto"/>
            <w:vAlign w:val="center"/>
          </w:tcPr>
          <w:p w14:paraId="6F2191A3" w14:textId="4CA639CC"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Грађевинарство</w:t>
            </w:r>
          </w:p>
        </w:tc>
        <w:tc>
          <w:tcPr>
            <w:tcW w:w="2128" w:type="dxa"/>
            <w:shd w:val="clear" w:color="auto" w:fill="auto"/>
            <w:vAlign w:val="center"/>
          </w:tcPr>
          <w:p w14:paraId="75DD1039" w14:textId="6D7FD547"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ОАС</w:t>
            </w:r>
          </w:p>
        </w:tc>
      </w:tr>
      <w:tr w:rsidR="005A5064" w:rsidRPr="005C606F" w14:paraId="1560024B" w14:textId="77777777" w:rsidTr="005C606F">
        <w:trPr>
          <w:trHeight w:val="20"/>
        </w:trPr>
        <w:tc>
          <w:tcPr>
            <w:tcW w:w="567" w:type="dxa"/>
            <w:gridSpan w:val="2"/>
            <w:shd w:val="clear" w:color="auto" w:fill="auto"/>
            <w:vAlign w:val="center"/>
          </w:tcPr>
          <w:p w14:paraId="545EE8B3" w14:textId="2D2B54C2"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3</w:t>
            </w:r>
          </w:p>
        </w:tc>
        <w:tc>
          <w:tcPr>
            <w:tcW w:w="1418" w:type="dxa"/>
            <w:gridSpan w:val="2"/>
            <w:shd w:val="clear" w:color="auto" w:fill="auto"/>
            <w:vAlign w:val="center"/>
          </w:tcPr>
          <w:p w14:paraId="581205E0" w14:textId="30304338"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19OG3007</w:t>
            </w:r>
          </w:p>
        </w:tc>
        <w:tc>
          <w:tcPr>
            <w:tcW w:w="2268" w:type="dxa"/>
            <w:gridSpan w:val="2"/>
            <w:shd w:val="clear" w:color="auto" w:fill="auto"/>
            <w:vAlign w:val="center"/>
          </w:tcPr>
          <w:p w14:paraId="46783CF7" w14:textId="09F927D6"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Железничке пруге</w:t>
            </w:r>
          </w:p>
        </w:tc>
        <w:tc>
          <w:tcPr>
            <w:tcW w:w="1843" w:type="dxa"/>
            <w:gridSpan w:val="4"/>
            <w:shd w:val="clear" w:color="auto" w:fill="auto"/>
            <w:vAlign w:val="center"/>
          </w:tcPr>
          <w:p w14:paraId="0DC79A5D" w14:textId="52F2C08A"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Предавања</w:t>
            </w:r>
          </w:p>
        </w:tc>
        <w:tc>
          <w:tcPr>
            <w:tcW w:w="2126" w:type="dxa"/>
            <w:gridSpan w:val="3"/>
            <w:shd w:val="clear" w:color="auto" w:fill="auto"/>
            <w:vAlign w:val="center"/>
          </w:tcPr>
          <w:p w14:paraId="3D7991F7" w14:textId="69B9AEC9"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Грађевинарство</w:t>
            </w:r>
          </w:p>
        </w:tc>
        <w:tc>
          <w:tcPr>
            <w:tcW w:w="2128" w:type="dxa"/>
            <w:shd w:val="clear" w:color="auto" w:fill="auto"/>
            <w:vAlign w:val="center"/>
          </w:tcPr>
          <w:p w14:paraId="7BE182B3" w14:textId="7FA89D66"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ОАС</w:t>
            </w:r>
          </w:p>
        </w:tc>
      </w:tr>
      <w:tr w:rsidR="005A5064" w:rsidRPr="005C606F" w14:paraId="7B8A99A0" w14:textId="77777777" w:rsidTr="005C606F">
        <w:trPr>
          <w:trHeight w:val="20"/>
        </w:trPr>
        <w:tc>
          <w:tcPr>
            <w:tcW w:w="567" w:type="dxa"/>
            <w:gridSpan w:val="2"/>
            <w:shd w:val="clear" w:color="auto" w:fill="auto"/>
            <w:vAlign w:val="center"/>
          </w:tcPr>
          <w:p w14:paraId="1F44B510" w14:textId="725F5CE8"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4</w:t>
            </w:r>
          </w:p>
        </w:tc>
        <w:tc>
          <w:tcPr>
            <w:tcW w:w="1418" w:type="dxa"/>
            <w:gridSpan w:val="2"/>
            <w:shd w:val="clear" w:color="auto" w:fill="auto"/>
            <w:vAlign w:val="center"/>
          </w:tcPr>
          <w:p w14:paraId="29E2FB09" w14:textId="468F7B68"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19OG3009</w:t>
            </w:r>
          </w:p>
        </w:tc>
        <w:tc>
          <w:tcPr>
            <w:tcW w:w="2268" w:type="dxa"/>
            <w:gridSpan w:val="2"/>
            <w:shd w:val="clear" w:color="auto" w:fill="auto"/>
            <w:vAlign w:val="center"/>
          </w:tcPr>
          <w:p w14:paraId="03C5420B" w14:textId="606F7ABF" w:rsidR="005A5064" w:rsidRPr="005C606F" w:rsidRDefault="005A5064" w:rsidP="005C606F">
            <w:pPr>
              <w:tabs>
                <w:tab w:val="left" w:pos="567"/>
              </w:tabs>
              <w:rPr>
                <w:rFonts w:ascii="Times New Roman" w:hAnsi="Times New Roman"/>
                <w:sz w:val="18"/>
                <w:szCs w:val="18"/>
              </w:rPr>
            </w:pPr>
            <w:r w:rsidRPr="005C606F">
              <w:rPr>
                <w:rFonts w:ascii="Times New Roman" w:hAnsi="Times New Roman"/>
                <w:sz w:val="18"/>
                <w:szCs w:val="18"/>
                <w:lang w:val="sr-Cyrl-CS"/>
              </w:rPr>
              <w:t xml:space="preserve">Коловозне конструкције </w:t>
            </w:r>
            <w:r w:rsidRPr="005C606F">
              <w:rPr>
                <w:rFonts w:ascii="Times New Roman" w:hAnsi="Times New Roman"/>
                <w:sz w:val="18"/>
                <w:szCs w:val="18"/>
                <w:lang w:val="en-GB"/>
              </w:rPr>
              <w:t>I</w:t>
            </w:r>
          </w:p>
        </w:tc>
        <w:tc>
          <w:tcPr>
            <w:tcW w:w="1843" w:type="dxa"/>
            <w:gridSpan w:val="4"/>
            <w:shd w:val="clear" w:color="auto" w:fill="auto"/>
            <w:vAlign w:val="center"/>
          </w:tcPr>
          <w:p w14:paraId="41835532" w14:textId="6C976FF6" w:rsidR="005A5064" w:rsidRPr="005C606F" w:rsidRDefault="005C606F" w:rsidP="005C606F">
            <w:pPr>
              <w:tabs>
                <w:tab w:val="left" w:pos="567"/>
              </w:tabs>
              <w:rPr>
                <w:rFonts w:ascii="Times New Roman" w:hAnsi="Times New Roman"/>
                <w:sz w:val="18"/>
                <w:szCs w:val="18"/>
                <w:lang w:val="sr-Cyrl-CS"/>
              </w:rPr>
            </w:pPr>
            <w:r>
              <w:rPr>
                <w:rFonts w:ascii="Times New Roman" w:hAnsi="Times New Roman"/>
                <w:sz w:val="18"/>
                <w:szCs w:val="18"/>
                <w:lang w:val="sr-Cyrl-CS"/>
              </w:rPr>
              <w:t xml:space="preserve">Предавања и </w:t>
            </w:r>
            <w:r w:rsidR="005A5064" w:rsidRPr="005C606F">
              <w:rPr>
                <w:rFonts w:ascii="Times New Roman" w:hAnsi="Times New Roman"/>
                <w:sz w:val="18"/>
                <w:szCs w:val="18"/>
                <w:lang w:val="sr-Cyrl-CS"/>
              </w:rPr>
              <w:t>вежбе</w:t>
            </w:r>
          </w:p>
        </w:tc>
        <w:tc>
          <w:tcPr>
            <w:tcW w:w="2126" w:type="dxa"/>
            <w:gridSpan w:val="3"/>
            <w:shd w:val="clear" w:color="auto" w:fill="auto"/>
            <w:vAlign w:val="center"/>
          </w:tcPr>
          <w:p w14:paraId="666837A7" w14:textId="603A324F"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Грађевинарство</w:t>
            </w:r>
          </w:p>
        </w:tc>
        <w:tc>
          <w:tcPr>
            <w:tcW w:w="2128" w:type="dxa"/>
            <w:shd w:val="clear" w:color="auto" w:fill="auto"/>
            <w:vAlign w:val="center"/>
          </w:tcPr>
          <w:p w14:paraId="472BEF5D" w14:textId="61881C48"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ОАС</w:t>
            </w:r>
          </w:p>
        </w:tc>
      </w:tr>
      <w:tr w:rsidR="005A5064" w:rsidRPr="005C606F" w14:paraId="0F9C4792" w14:textId="77777777" w:rsidTr="005C606F">
        <w:trPr>
          <w:trHeight w:val="20"/>
        </w:trPr>
        <w:tc>
          <w:tcPr>
            <w:tcW w:w="567" w:type="dxa"/>
            <w:gridSpan w:val="2"/>
            <w:shd w:val="clear" w:color="auto" w:fill="auto"/>
            <w:vAlign w:val="center"/>
          </w:tcPr>
          <w:p w14:paraId="0F347CF9" w14:textId="4F7C2698"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5</w:t>
            </w:r>
          </w:p>
        </w:tc>
        <w:tc>
          <w:tcPr>
            <w:tcW w:w="1418" w:type="dxa"/>
            <w:gridSpan w:val="2"/>
            <w:shd w:val="clear" w:color="auto" w:fill="auto"/>
            <w:vAlign w:val="center"/>
          </w:tcPr>
          <w:p w14:paraId="6BAB1B05" w14:textId="097E2A3D"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19OG3012</w:t>
            </w:r>
          </w:p>
        </w:tc>
        <w:tc>
          <w:tcPr>
            <w:tcW w:w="2268" w:type="dxa"/>
            <w:gridSpan w:val="2"/>
            <w:shd w:val="clear" w:color="auto" w:fill="auto"/>
            <w:vAlign w:val="center"/>
          </w:tcPr>
          <w:p w14:paraId="1E38825C" w14:textId="344C3D2C"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 xml:space="preserve">Коловозне конструкције </w:t>
            </w:r>
            <w:r w:rsidRPr="005C606F">
              <w:rPr>
                <w:rFonts w:ascii="Times New Roman" w:hAnsi="Times New Roman"/>
                <w:sz w:val="18"/>
                <w:szCs w:val="18"/>
                <w:lang w:val="en-GB"/>
              </w:rPr>
              <w:t>II</w:t>
            </w:r>
          </w:p>
        </w:tc>
        <w:tc>
          <w:tcPr>
            <w:tcW w:w="1843" w:type="dxa"/>
            <w:gridSpan w:val="4"/>
            <w:shd w:val="clear" w:color="auto" w:fill="auto"/>
            <w:vAlign w:val="center"/>
          </w:tcPr>
          <w:p w14:paraId="78EDBA7E" w14:textId="6EC426D9" w:rsidR="005A5064" w:rsidRPr="005C606F" w:rsidRDefault="005C606F" w:rsidP="005C606F">
            <w:pPr>
              <w:tabs>
                <w:tab w:val="left" w:pos="567"/>
              </w:tabs>
              <w:rPr>
                <w:rFonts w:ascii="Times New Roman" w:hAnsi="Times New Roman"/>
                <w:sz w:val="18"/>
                <w:szCs w:val="18"/>
                <w:lang w:val="sr-Cyrl-CS"/>
              </w:rPr>
            </w:pPr>
            <w:r>
              <w:rPr>
                <w:rFonts w:ascii="Times New Roman" w:hAnsi="Times New Roman"/>
                <w:sz w:val="18"/>
                <w:szCs w:val="18"/>
                <w:lang w:val="sr-Cyrl-CS"/>
              </w:rPr>
              <w:t xml:space="preserve">Предавања и </w:t>
            </w:r>
            <w:r w:rsidR="005A5064" w:rsidRPr="005C606F">
              <w:rPr>
                <w:rFonts w:ascii="Times New Roman" w:hAnsi="Times New Roman"/>
                <w:sz w:val="18"/>
                <w:szCs w:val="18"/>
                <w:lang w:val="sr-Cyrl-CS"/>
              </w:rPr>
              <w:t>вежбе</w:t>
            </w:r>
          </w:p>
        </w:tc>
        <w:tc>
          <w:tcPr>
            <w:tcW w:w="2126" w:type="dxa"/>
            <w:gridSpan w:val="3"/>
            <w:shd w:val="clear" w:color="auto" w:fill="auto"/>
            <w:vAlign w:val="center"/>
          </w:tcPr>
          <w:p w14:paraId="53186105" w14:textId="2FA864C8"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Грађевинарство</w:t>
            </w:r>
          </w:p>
        </w:tc>
        <w:tc>
          <w:tcPr>
            <w:tcW w:w="2128" w:type="dxa"/>
            <w:shd w:val="clear" w:color="auto" w:fill="auto"/>
            <w:vAlign w:val="center"/>
          </w:tcPr>
          <w:p w14:paraId="694ED05C" w14:textId="6A2F1842"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ОАС</w:t>
            </w:r>
          </w:p>
        </w:tc>
      </w:tr>
      <w:tr w:rsidR="005A5064" w:rsidRPr="005C606F" w14:paraId="7055D3B0" w14:textId="77777777" w:rsidTr="005C606F">
        <w:trPr>
          <w:trHeight w:val="20"/>
        </w:trPr>
        <w:tc>
          <w:tcPr>
            <w:tcW w:w="567" w:type="dxa"/>
            <w:gridSpan w:val="2"/>
            <w:shd w:val="clear" w:color="auto" w:fill="auto"/>
            <w:vAlign w:val="center"/>
          </w:tcPr>
          <w:p w14:paraId="15D26B96" w14:textId="68E167DD" w:rsidR="005A5064" w:rsidRPr="005C606F" w:rsidRDefault="005A5064"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6</w:t>
            </w:r>
          </w:p>
        </w:tc>
        <w:tc>
          <w:tcPr>
            <w:tcW w:w="1418" w:type="dxa"/>
            <w:gridSpan w:val="2"/>
            <w:shd w:val="clear" w:color="auto" w:fill="auto"/>
            <w:vAlign w:val="center"/>
          </w:tcPr>
          <w:p w14:paraId="44760CE5" w14:textId="48271763" w:rsidR="005A5064" w:rsidRPr="005C606F" w:rsidRDefault="0034057C"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19OU1033</w:t>
            </w:r>
          </w:p>
        </w:tc>
        <w:tc>
          <w:tcPr>
            <w:tcW w:w="2268" w:type="dxa"/>
            <w:gridSpan w:val="2"/>
            <w:shd w:val="clear" w:color="auto" w:fill="auto"/>
            <w:vAlign w:val="center"/>
          </w:tcPr>
          <w:p w14:paraId="7FD977E4" w14:textId="36B5AF1C" w:rsidR="005A5064" w:rsidRPr="005C606F" w:rsidRDefault="0034057C"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Објекти саобраћајне инфраструктуре</w:t>
            </w:r>
          </w:p>
        </w:tc>
        <w:tc>
          <w:tcPr>
            <w:tcW w:w="1843" w:type="dxa"/>
            <w:gridSpan w:val="4"/>
            <w:shd w:val="clear" w:color="auto" w:fill="auto"/>
            <w:vAlign w:val="center"/>
          </w:tcPr>
          <w:p w14:paraId="54D969B3" w14:textId="6BE14547" w:rsidR="005A5064" w:rsidRPr="005C606F" w:rsidRDefault="0034057C"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Предавања</w:t>
            </w:r>
          </w:p>
        </w:tc>
        <w:tc>
          <w:tcPr>
            <w:tcW w:w="2126" w:type="dxa"/>
            <w:gridSpan w:val="3"/>
            <w:shd w:val="clear" w:color="auto" w:fill="auto"/>
            <w:vAlign w:val="center"/>
          </w:tcPr>
          <w:p w14:paraId="33B8EC3E" w14:textId="5CDB6BD7" w:rsidR="005A5064" w:rsidRPr="005C606F" w:rsidRDefault="0034057C"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Управљање пројектима у грађевинарству</w:t>
            </w:r>
          </w:p>
        </w:tc>
        <w:tc>
          <w:tcPr>
            <w:tcW w:w="2128" w:type="dxa"/>
            <w:shd w:val="clear" w:color="auto" w:fill="auto"/>
            <w:vAlign w:val="center"/>
          </w:tcPr>
          <w:p w14:paraId="584BD5CC" w14:textId="4E6151D9" w:rsidR="005A5064" w:rsidRPr="005C606F" w:rsidRDefault="0034057C" w:rsidP="005C606F">
            <w:pPr>
              <w:tabs>
                <w:tab w:val="left" w:pos="567"/>
              </w:tabs>
              <w:rPr>
                <w:rFonts w:ascii="Times New Roman" w:hAnsi="Times New Roman"/>
                <w:sz w:val="18"/>
                <w:szCs w:val="18"/>
                <w:lang w:val="sr-Cyrl-CS"/>
              </w:rPr>
            </w:pPr>
            <w:r w:rsidRPr="005C606F">
              <w:rPr>
                <w:rFonts w:ascii="Times New Roman" w:hAnsi="Times New Roman"/>
                <w:sz w:val="18"/>
                <w:szCs w:val="18"/>
                <w:lang w:val="sr-Cyrl-CS"/>
              </w:rPr>
              <w:t>ОАС</w:t>
            </w:r>
          </w:p>
        </w:tc>
      </w:tr>
      <w:tr w:rsidR="005A5064" w:rsidRPr="00491993" w14:paraId="33D85BDA" w14:textId="77777777" w:rsidTr="005C606F">
        <w:trPr>
          <w:trHeight w:val="284"/>
        </w:trPr>
        <w:tc>
          <w:tcPr>
            <w:tcW w:w="10350" w:type="dxa"/>
            <w:gridSpan w:val="14"/>
            <w:vAlign w:val="center"/>
          </w:tcPr>
          <w:p w14:paraId="79725FF6" w14:textId="77777777" w:rsidR="005A5064" w:rsidRPr="00491993" w:rsidRDefault="005A5064" w:rsidP="005A5064">
            <w:pPr>
              <w:tabs>
                <w:tab w:val="left" w:pos="567"/>
              </w:tabs>
              <w:spacing w:after="60"/>
              <w:rPr>
                <w:rFonts w:ascii="Times New Roman" w:hAnsi="Times New Roman"/>
                <w:b/>
                <w:sz w:val="20"/>
                <w:szCs w:val="20"/>
                <w:lang w:val="sr-Cyrl-CS"/>
              </w:rPr>
            </w:pPr>
            <w:r w:rsidRPr="00491993">
              <w:rPr>
                <w:rFonts w:ascii="Times New Roman" w:hAnsi="Times New Roman"/>
                <w:b/>
                <w:sz w:val="20"/>
                <w:szCs w:val="20"/>
                <w:lang w:val="sr-Cyrl-CS"/>
              </w:rPr>
              <w:t>Репрезентативне референце (минимално 5 не више од 10)</w:t>
            </w:r>
          </w:p>
        </w:tc>
      </w:tr>
      <w:tr w:rsidR="005A5064" w:rsidRPr="005C606F" w14:paraId="056771AE" w14:textId="77777777" w:rsidTr="005C606F">
        <w:trPr>
          <w:trHeight w:val="427"/>
        </w:trPr>
        <w:tc>
          <w:tcPr>
            <w:tcW w:w="426" w:type="dxa"/>
            <w:vAlign w:val="center"/>
          </w:tcPr>
          <w:p w14:paraId="0E487ADD" w14:textId="77777777" w:rsidR="005A5064" w:rsidRPr="00491993" w:rsidRDefault="005A5064" w:rsidP="005C606F">
            <w:pPr>
              <w:numPr>
                <w:ilvl w:val="0"/>
                <w:numId w:val="9"/>
              </w:numPr>
              <w:tabs>
                <w:tab w:val="clear" w:pos="720"/>
                <w:tab w:val="left" w:pos="567"/>
              </w:tabs>
              <w:ind w:left="0" w:firstLine="0"/>
              <w:rPr>
                <w:rFonts w:ascii="Times New Roman" w:hAnsi="Times New Roman"/>
                <w:sz w:val="20"/>
                <w:szCs w:val="20"/>
                <w:lang w:val="sr-Cyrl-CS"/>
              </w:rPr>
            </w:pPr>
          </w:p>
        </w:tc>
        <w:tc>
          <w:tcPr>
            <w:tcW w:w="9924" w:type="dxa"/>
            <w:gridSpan w:val="13"/>
            <w:shd w:val="clear" w:color="auto" w:fill="auto"/>
            <w:vAlign w:val="center"/>
          </w:tcPr>
          <w:p w14:paraId="0D9E1A66" w14:textId="5E6FDD20"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Yu, H., Chen, Y., Wu, Q., Zhang, L., Zhang, Z., Zhang, J., Miljković, M., Oeser, M., 2020. Decision Support for Selecting Optimal Method of Recycling Waste Tire Rubber into Wax-based Warm Mix Asphalt based on Fuzzy Comprehensive Evaluation. Journal of Cleaner Production (article in press), 121781. https://doi.org/10.1016/j.jclepro.2020.121781</w:t>
            </w:r>
          </w:p>
        </w:tc>
      </w:tr>
      <w:tr w:rsidR="005A5064" w:rsidRPr="005C606F" w14:paraId="4429CCD9" w14:textId="77777777" w:rsidTr="005C606F">
        <w:trPr>
          <w:trHeight w:val="427"/>
        </w:trPr>
        <w:tc>
          <w:tcPr>
            <w:tcW w:w="426" w:type="dxa"/>
            <w:vAlign w:val="center"/>
          </w:tcPr>
          <w:p w14:paraId="6C80E3A5" w14:textId="77777777" w:rsidR="005A5064" w:rsidRPr="00491993" w:rsidRDefault="005A5064" w:rsidP="005C606F">
            <w:pPr>
              <w:numPr>
                <w:ilvl w:val="0"/>
                <w:numId w:val="9"/>
              </w:numPr>
              <w:tabs>
                <w:tab w:val="clear" w:pos="720"/>
                <w:tab w:val="left" w:pos="567"/>
              </w:tabs>
              <w:ind w:left="0" w:firstLine="0"/>
              <w:rPr>
                <w:rFonts w:ascii="Times New Roman" w:hAnsi="Times New Roman"/>
                <w:sz w:val="20"/>
                <w:szCs w:val="20"/>
                <w:lang w:val="sr-Cyrl-CS"/>
              </w:rPr>
            </w:pPr>
          </w:p>
        </w:tc>
        <w:tc>
          <w:tcPr>
            <w:tcW w:w="9924" w:type="dxa"/>
            <w:gridSpan w:val="13"/>
            <w:shd w:val="clear" w:color="auto" w:fill="auto"/>
            <w:vAlign w:val="center"/>
          </w:tcPr>
          <w:p w14:paraId="27AA1D11" w14:textId="32306CCB"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Zhang, H., Gong, M., Huang, Y., and Miljković, M., 2020. Study of the high and low-temperature behavior of asphalt based on a performance grading system in Northeast China. Construction and Building Materials, 254, 119046. </w:t>
            </w:r>
            <w:r w:rsidR="005C606F">
              <w:rPr>
                <w:rFonts w:ascii="Times New Roman" w:hAnsi="Times New Roman"/>
                <w:sz w:val="16"/>
                <w:szCs w:val="16"/>
                <w:lang w:val="sr-Latn-RS"/>
              </w:rPr>
              <w:t xml:space="preserve"> </w:t>
            </w:r>
            <w:r w:rsidRPr="005C606F">
              <w:rPr>
                <w:rFonts w:ascii="Times New Roman" w:hAnsi="Times New Roman"/>
                <w:sz w:val="16"/>
                <w:szCs w:val="16"/>
                <w:lang w:val="sr-Cyrl-CS"/>
              </w:rPr>
              <w:t>https://doi.org/10.1016/j.conbuildmat.2020.119046</w:t>
            </w:r>
          </w:p>
        </w:tc>
      </w:tr>
      <w:tr w:rsidR="005A5064" w:rsidRPr="005C606F" w14:paraId="3E172A38" w14:textId="77777777" w:rsidTr="005C606F">
        <w:trPr>
          <w:trHeight w:val="427"/>
        </w:trPr>
        <w:tc>
          <w:tcPr>
            <w:tcW w:w="426" w:type="dxa"/>
            <w:vAlign w:val="center"/>
          </w:tcPr>
          <w:p w14:paraId="12A4791A" w14:textId="77777777" w:rsidR="005A5064" w:rsidRPr="00491993" w:rsidRDefault="005A5064" w:rsidP="005C606F">
            <w:pPr>
              <w:numPr>
                <w:ilvl w:val="0"/>
                <w:numId w:val="9"/>
              </w:numPr>
              <w:tabs>
                <w:tab w:val="clear" w:pos="720"/>
                <w:tab w:val="left" w:pos="567"/>
              </w:tabs>
              <w:ind w:left="0" w:firstLine="0"/>
              <w:rPr>
                <w:rFonts w:ascii="Times New Roman" w:hAnsi="Times New Roman"/>
                <w:sz w:val="20"/>
                <w:szCs w:val="20"/>
                <w:lang w:val="sr-Cyrl-CS"/>
              </w:rPr>
            </w:pPr>
          </w:p>
        </w:tc>
        <w:tc>
          <w:tcPr>
            <w:tcW w:w="9924" w:type="dxa"/>
            <w:gridSpan w:val="13"/>
            <w:shd w:val="clear" w:color="auto" w:fill="auto"/>
            <w:vAlign w:val="center"/>
          </w:tcPr>
          <w:p w14:paraId="0D3A45B2" w14:textId="135A4DCF"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Miljković, M., Poulikakos, L., Piemontese, F., Shakoorioskooie, M., and Lura, P., 2019. Mechanical behaviour of bitumen emulsion-cement composites across the structural transition of the co-binder system. Construction and Building Materials, 215, 217–232. </w:t>
            </w:r>
          </w:p>
          <w:p w14:paraId="4AC68CDF" w14:textId="3176F917"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https://doi.org/10.1016/j.conbuildmat.2019.04.169</w:t>
            </w:r>
          </w:p>
        </w:tc>
      </w:tr>
      <w:tr w:rsidR="005A5064" w:rsidRPr="005C606F" w14:paraId="063C5935" w14:textId="77777777" w:rsidTr="005C606F">
        <w:trPr>
          <w:trHeight w:val="427"/>
        </w:trPr>
        <w:tc>
          <w:tcPr>
            <w:tcW w:w="426" w:type="dxa"/>
            <w:vAlign w:val="center"/>
          </w:tcPr>
          <w:p w14:paraId="19BB6CB4" w14:textId="77777777" w:rsidR="005A5064" w:rsidRPr="00491993" w:rsidRDefault="005A5064" w:rsidP="005C606F">
            <w:pPr>
              <w:numPr>
                <w:ilvl w:val="0"/>
                <w:numId w:val="9"/>
              </w:numPr>
              <w:tabs>
                <w:tab w:val="clear" w:pos="720"/>
                <w:tab w:val="left" w:pos="567"/>
              </w:tabs>
              <w:ind w:left="0" w:firstLine="0"/>
              <w:rPr>
                <w:rFonts w:ascii="Times New Roman" w:hAnsi="Times New Roman"/>
                <w:sz w:val="20"/>
                <w:szCs w:val="20"/>
                <w:lang w:val="sr-Cyrl-CS"/>
              </w:rPr>
            </w:pPr>
          </w:p>
        </w:tc>
        <w:tc>
          <w:tcPr>
            <w:tcW w:w="9924" w:type="dxa"/>
            <w:gridSpan w:val="13"/>
            <w:shd w:val="clear" w:color="auto" w:fill="auto"/>
            <w:vAlign w:val="center"/>
          </w:tcPr>
          <w:p w14:paraId="4645FE5F" w14:textId="2202675B"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Miljković, M., Radenberg, M., Fang, X., and Lura, P., 2017. Influence of emulsifier content on cement hydration and mechanical performance of bitumen emulsion mortar. Materials and Structures, 50 (3), 185.  </w:t>
            </w:r>
            <w:r w:rsidR="005C606F">
              <w:rPr>
                <w:rFonts w:ascii="Times New Roman" w:hAnsi="Times New Roman"/>
                <w:sz w:val="16"/>
                <w:szCs w:val="16"/>
                <w:lang w:val="sr-Latn-RS"/>
              </w:rPr>
              <w:t xml:space="preserve"> </w:t>
            </w:r>
            <w:r w:rsidRPr="005C606F">
              <w:rPr>
                <w:rFonts w:ascii="Times New Roman" w:hAnsi="Times New Roman"/>
                <w:sz w:val="16"/>
                <w:szCs w:val="16"/>
                <w:lang w:val="sr-Cyrl-CS"/>
              </w:rPr>
              <w:t>https://doi.org/10.1617/s11527-017-1052-4</w:t>
            </w:r>
          </w:p>
        </w:tc>
      </w:tr>
      <w:tr w:rsidR="005A5064" w:rsidRPr="005C606F" w14:paraId="692A30D7" w14:textId="77777777" w:rsidTr="005C606F">
        <w:trPr>
          <w:trHeight w:val="427"/>
        </w:trPr>
        <w:tc>
          <w:tcPr>
            <w:tcW w:w="426" w:type="dxa"/>
            <w:vAlign w:val="center"/>
          </w:tcPr>
          <w:p w14:paraId="5436FFCC" w14:textId="77777777" w:rsidR="005A5064" w:rsidRPr="00491993" w:rsidRDefault="005A5064" w:rsidP="005C606F">
            <w:pPr>
              <w:numPr>
                <w:ilvl w:val="0"/>
                <w:numId w:val="9"/>
              </w:numPr>
              <w:tabs>
                <w:tab w:val="clear" w:pos="720"/>
                <w:tab w:val="left" w:pos="567"/>
              </w:tabs>
              <w:ind w:left="0" w:firstLine="0"/>
              <w:rPr>
                <w:rFonts w:ascii="Times New Roman" w:hAnsi="Times New Roman"/>
                <w:sz w:val="20"/>
                <w:szCs w:val="20"/>
                <w:lang w:val="sr-Cyrl-CS"/>
              </w:rPr>
            </w:pPr>
          </w:p>
        </w:tc>
        <w:tc>
          <w:tcPr>
            <w:tcW w:w="9924" w:type="dxa"/>
            <w:gridSpan w:val="13"/>
            <w:shd w:val="clear" w:color="auto" w:fill="auto"/>
            <w:vAlign w:val="center"/>
          </w:tcPr>
          <w:p w14:paraId="5D002221" w14:textId="322D565F"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Miljković, M. and Radenberg, M., 2016. Effect of compaction energy on physical and mechanical performance of bitumen emulsion mortar. Materials and Structures, 49 (1–2), 193–205. </w:t>
            </w:r>
            <w:r w:rsidR="005C606F">
              <w:rPr>
                <w:rFonts w:ascii="Times New Roman" w:hAnsi="Times New Roman"/>
                <w:sz w:val="16"/>
                <w:szCs w:val="16"/>
                <w:lang w:val="sr-Latn-RS"/>
              </w:rPr>
              <w:t xml:space="preserve"> </w:t>
            </w:r>
            <w:r w:rsidRPr="005C606F">
              <w:rPr>
                <w:rFonts w:ascii="Times New Roman" w:hAnsi="Times New Roman"/>
                <w:sz w:val="16"/>
                <w:szCs w:val="16"/>
                <w:lang w:val="sr-Cyrl-CS"/>
              </w:rPr>
              <w:t>https://doi.org/10.1617/s11527-014-0488-z</w:t>
            </w:r>
          </w:p>
        </w:tc>
      </w:tr>
      <w:tr w:rsidR="005A5064" w:rsidRPr="005C606F" w14:paraId="541BA68C" w14:textId="77777777" w:rsidTr="005C606F">
        <w:trPr>
          <w:trHeight w:val="427"/>
        </w:trPr>
        <w:tc>
          <w:tcPr>
            <w:tcW w:w="426" w:type="dxa"/>
            <w:vAlign w:val="center"/>
          </w:tcPr>
          <w:p w14:paraId="12A094AE" w14:textId="77777777" w:rsidR="005A5064" w:rsidRPr="00491993" w:rsidRDefault="005A5064" w:rsidP="005C606F">
            <w:pPr>
              <w:numPr>
                <w:ilvl w:val="0"/>
                <w:numId w:val="9"/>
              </w:numPr>
              <w:tabs>
                <w:tab w:val="clear" w:pos="720"/>
                <w:tab w:val="left" w:pos="567"/>
              </w:tabs>
              <w:ind w:left="0" w:firstLine="0"/>
              <w:rPr>
                <w:rFonts w:ascii="Times New Roman" w:hAnsi="Times New Roman"/>
                <w:sz w:val="20"/>
                <w:szCs w:val="20"/>
                <w:lang w:val="sr-Cyrl-CS"/>
              </w:rPr>
            </w:pPr>
          </w:p>
        </w:tc>
        <w:tc>
          <w:tcPr>
            <w:tcW w:w="9924" w:type="dxa"/>
            <w:gridSpan w:val="13"/>
            <w:shd w:val="clear" w:color="auto" w:fill="auto"/>
            <w:vAlign w:val="center"/>
          </w:tcPr>
          <w:p w14:paraId="35749241" w14:textId="7D8BBD8F"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Miljković, M. and Radenberg, M., 2015. Characterising the influence of bitumen emulsion on asphalt mixture performance. Materials and Structures, 48 (7), 2195–2210. </w:t>
            </w:r>
            <w:r w:rsidR="005C606F">
              <w:rPr>
                <w:rFonts w:ascii="Times New Roman" w:hAnsi="Times New Roman"/>
                <w:sz w:val="16"/>
                <w:szCs w:val="16"/>
                <w:lang w:val="sr-Latn-RS"/>
              </w:rPr>
              <w:t xml:space="preserve"> </w:t>
            </w:r>
            <w:r w:rsidRPr="005C606F">
              <w:rPr>
                <w:rFonts w:ascii="Times New Roman" w:hAnsi="Times New Roman"/>
                <w:sz w:val="16"/>
                <w:szCs w:val="16"/>
                <w:lang w:val="sr-Cyrl-CS"/>
              </w:rPr>
              <w:t>https://doi.org/10.1617/s11527-014-0302-y</w:t>
            </w:r>
          </w:p>
        </w:tc>
      </w:tr>
      <w:tr w:rsidR="005A5064" w:rsidRPr="005C606F" w14:paraId="73BB50A7" w14:textId="77777777" w:rsidTr="005C606F">
        <w:trPr>
          <w:trHeight w:val="427"/>
        </w:trPr>
        <w:tc>
          <w:tcPr>
            <w:tcW w:w="426" w:type="dxa"/>
            <w:vAlign w:val="center"/>
          </w:tcPr>
          <w:p w14:paraId="43D12805" w14:textId="77777777" w:rsidR="005A5064" w:rsidRPr="00491993" w:rsidRDefault="005A5064" w:rsidP="005C606F">
            <w:pPr>
              <w:numPr>
                <w:ilvl w:val="0"/>
                <w:numId w:val="9"/>
              </w:numPr>
              <w:tabs>
                <w:tab w:val="clear" w:pos="720"/>
                <w:tab w:val="left" w:pos="567"/>
              </w:tabs>
              <w:ind w:left="0" w:firstLine="0"/>
              <w:rPr>
                <w:rFonts w:ascii="Times New Roman" w:hAnsi="Times New Roman"/>
                <w:sz w:val="20"/>
                <w:szCs w:val="20"/>
                <w:lang w:val="sr-Cyrl-CS"/>
              </w:rPr>
            </w:pPr>
          </w:p>
        </w:tc>
        <w:tc>
          <w:tcPr>
            <w:tcW w:w="9924" w:type="dxa"/>
            <w:gridSpan w:val="13"/>
            <w:shd w:val="clear" w:color="auto" w:fill="auto"/>
            <w:vAlign w:val="center"/>
          </w:tcPr>
          <w:p w14:paraId="68F30636" w14:textId="4DE5E25F"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Miljković, M. and Radenberg, M., 2014. Fracture behaviour of bitumen emulsion mortar mixtures. Construction and Building Materials, 62, 126–134.  </w:t>
            </w:r>
          </w:p>
          <w:p w14:paraId="49F91584" w14:textId="5CF3B830"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https://doi.org/10.1016/j.conbuildmat.2014.03.034</w:t>
            </w:r>
          </w:p>
        </w:tc>
      </w:tr>
      <w:tr w:rsidR="005A5064" w:rsidRPr="005C606F" w14:paraId="587DF705" w14:textId="77777777" w:rsidTr="005C606F">
        <w:trPr>
          <w:trHeight w:val="427"/>
        </w:trPr>
        <w:tc>
          <w:tcPr>
            <w:tcW w:w="426" w:type="dxa"/>
            <w:vAlign w:val="center"/>
          </w:tcPr>
          <w:p w14:paraId="7411FF7D" w14:textId="77777777" w:rsidR="005A5064" w:rsidRPr="00491993" w:rsidRDefault="005A5064" w:rsidP="005C606F">
            <w:pPr>
              <w:numPr>
                <w:ilvl w:val="0"/>
                <w:numId w:val="9"/>
              </w:numPr>
              <w:tabs>
                <w:tab w:val="clear" w:pos="720"/>
                <w:tab w:val="left" w:pos="567"/>
              </w:tabs>
              <w:ind w:left="0" w:firstLine="0"/>
              <w:rPr>
                <w:rFonts w:ascii="Times New Roman" w:hAnsi="Times New Roman"/>
                <w:sz w:val="20"/>
                <w:szCs w:val="20"/>
                <w:lang w:val="sr-Cyrl-CS"/>
              </w:rPr>
            </w:pPr>
          </w:p>
        </w:tc>
        <w:tc>
          <w:tcPr>
            <w:tcW w:w="9924" w:type="dxa"/>
            <w:gridSpan w:val="13"/>
            <w:shd w:val="clear" w:color="auto" w:fill="auto"/>
            <w:vAlign w:val="center"/>
          </w:tcPr>
          <w:p w14:paraId="7183631B" w14:textId="52658DB5" w:rsidR="005A5064" w:rsidRPr="005C606F" w:rsidRDefault="005A5064"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Miljković, M., Radenberg, M., and Gottaut, C., 2014. Characterization of Noise-Reducing Capacity of Pavement by Means of Surface Texture Parameters. Journal of Materials in Civil Engineering, 26 (2), 240–249.  </w:t>
            </w:r>
            <w:r w:rsidR="005C606F">
              <w:rPr>
                <w:rFonts w:ascii="Times New Roman" w:hAnsi="Times New Roman"/>
                <w:sz w:val="16"/>
                <w:szCs w:val="16"/>
                <w:lang w:val="sr-Latn-RS"/>
              </w:rPr>
              <w:t xml:space="preserve"> </w:t>
            </w:r>
            <w:r w:rsidRPr="005C606F">
              <w:rPr>
                <w:rFonts w:ascii="Times New Roman" w:hAnsi="Times New Roman"/>
                <w:sz w:val="16"/>
                <w:szCs w:val="16"/>
                <w:lang w:val="sr-Cyrl-CS"/>
              </w:rPr>
              <w:t>https://doi.org/10.1061/(ASCE)MT.1943-5533.0000821</w:t>
            </w:r>
          </w:p>
        </w:tc>
      </w:tr>
      <w:tr w:rsidR="005A5064" w:rsidRPr="00491993" w14:paraId="11E3D2AE" w14:textId="77777777" w:rsidTr="005C606F">
        <w:trPr>
          <w:trHeight w:val="284"/>
        </w:trPr>
        <w:tc>
          <w:tcPr>
            <w:tcW w:w="10350" w:type="dxa"/>
            <w:gridSpan w:val="14"/>
            <w:vAlign w:val="center"/>
          </w:tcPr>
          <w:p w14:paraId="1BF7F0F6" w14:textId="77777777" w:rsidR="005A5064" w:rsidRPr="00491993" w:rsidRDefault="005A5064" w:rsidP="005A5064">
            <w:pPr>
              <w:tabs>
                <w:tab w:val="left" w:pos="567"/>
              </w:tabs>
              <w:spacing w:after="60"/>
              <w:rPr>
                <w:rFonts w:ascii="Times New Roman" w:hAnsi="Times New Roman"/>
                <w:b/>
                <w:sz w:val="20"/>
                <w:szCs w:val="20"/>
                <w:lang w:val="sr-Cyrl-CS"/>
              </w:rPr>
            </w:pPr>
            <w:r w:rsidRPr="00491993">
              <w:rPr>
                <w:rFonts w:ascii="Times New Roman" w:hAnsi="Times New Roman"/>
                <w:b/>
                <w:sz w:val="20"/>
                <w:szCs w:val="20"/>
                <w:lang w:val="sr-Cyrl-CS"/>
              </w:rPr>
              <w:t xml:space="preserve">Збирни подаци научне, односно уметничке и стручне активности наставника </w:t>
            </w:r>
          </w:p>
        </w:tc>
      </w:tr>
      <w:tr w:rsidR="005A5064" w:rsidRPr="005C606F" w14:paraId="41435027" w14:textId="77777777" w:rsidTr="005C606F">
        <w:trPr>
          <w:trHeight w:val="20"/>
        </w:trPr>
        <w:tc>
          <w:tcPr>
            <w:tcW w:w="4356" w:type="dxa"/>
            <w:gridSpan w:val="7"/>
            <w:vAlign w:val="center"/>
          </w:tcPr>
          <w:p w14:paraId="6C16115C" w14:textId="77777777" w:rsidR="005A5064" w:rsidRPr="005C606F" w:rsidRDefault="005A5064" w:rsidP="005C606F">
            <w:pPr>
              <w:tabs>
                <w:tab w:val="left" w:pos="567"/>
              </w:tabs>
              <w:rPr>
                <w:rFonts w:ascii="Times New Roman" w:hAnsi="Times New Roman"/>
                <w:sz w:val="16"/>
                <w:szCs w:val="16"/>
                <w:lang w:val="en-GB"/>
              </w:rPr>
            </w:pPr>
            <w:r w:rsidRPr="005C606F">
              <w:rPr>
                <w:rFonts w:ascii="Times New Roman" w:hAnsi="Times New Roman"/>
                <w:sz w:val="16"/>
                <w:szCs w:val="16"/>
                <w:lang w:val="sr-Cyrl-CS"/>
              </w:rPr>
              <w:t>Укупан број цитата</w:t>
            </w:r>
          </w:p>
        </w:tc>
        <w:tc>
          <w:tcPr>
            <w:tcW w:w="5994" w:type="dxa"/>
            <w:gridSpan w:val="7"/>
            <w:vAlign w:val="center"/>
          </w:tcPr>
          <w:p w14:paraId="25A4E073" w14:textId="7357323D" w:rsidR="005A5064" w:rsidRPr="005C606F" w:rsidRDefault="005A5064" w:rsidP="005C606F">
            <w:pPr>
              <w:tabs>
                <w:tab w:val="left" w:pos="567"/>
              </w:tabs>
              <w:rPr>
                <w:rFonts w:ascii="Times New Roman" w:hAnsi="Times New Roman"/>
                <w:sz w:val="16"/>
                <w:szCs w:val="16"/>
              </w:rPr>
            </w:pPr>
            <w:r w:rsidRPr="005C606F">
              <w:rPr>
                <w:rFonts w:ascii="Times New Roman" w:hAnsi="Times New Roman"/>
                <w:sz w:val="16"/>
                <w:szCs w:val="16"/>
                <w:lang w:val="en-GB"/>
              </w:rPr>
              <w:t>156</w:t>
            </w:r>
          </w:p>
        </w:tc>
      </w:tr>
      <w:tr w:rsidR="005A5064" w:rsidRPr="005C606F" w14:paraId="388F524E" w14:textId="77777777" w:rsidTr="005C606F">
        <w:trPr>
          <w:trHeight w:val="20"/>
        </w:trPr>
        <w:tc>
          <w:tcPr>
            <w:tcW w:w="4356" w:type="dxa"/>
            <w:gridSpan w:val="7"/>
            <w:vAlign w:val="center"/>
          </w:tcPr>
          <w:p w14:paraId="4E66C0BC" w14:textId="77777777" w:rsidR="005A5064" w:rsidRPr="005C606F" w:rsidRDefault="005A5064" w:rsidP="005C606F">
            <w:pPr>
              <w:tabs>
                <w:tab w:val="left" w:pos="567"/>
              </w:tabs>
              <w:rPr>
                <w:rFonts w:ascii="Times New Roman" w:hAnsi="Times New Roman"/>
                <w:sz w:val="16"/>
                <w:szCs w:val="16"/>
                <w:lang w:val="sr-Cyrl-CS"/>
              </w:rPr>
            </w:pPr>
            <w:r w:rsidRPr="005C606F">
              <w:rPr>
                <w:rFonts w:ascii="Times New Roman" w:hAnsi="Times New Roman"/>
                <w:sz w:val="16"/>
                <w:szCs w:val="16"/>
                <w:lang w:val="sr-Cyrl-CS"/>
              </w:rPr>
              <w:t>Укупан број радова са SCI (SSCI) листе</w:t>
            </w:r>
          </w:p>
        </w:tc>
        <w:tc>
          <w:tcPr>
            <w:tcW w:w="5994" w:type="dxa"/>
            <w:gridSpan w:val="7"/>
            <w:vAlign w:val="center"/>
          </w:tcPr>
          <w:p w14:paraId="56FCBA99" w14:textId="74A54828" w:rsidR="005A5064" w:rsidRPr="005C606F" w:rsidRDefault="005A5064" w:rsidP="005C606F">
            <w:pPr>
              <w:tabs>
                <w:tab w:val="left" w:pos="567"/>
              </w:tabs>
              <w:rPr>
                <w:rFonts w:ascii="Times New Roman" w:hAnsi="Times New Roman"/>
                <w:sz w:val="16"/>
                <w:szCs w:val="16"/>
                <w:lang w:val="sr-Cyrl-CS"/>
              </w:rPr>
            </w:pPr>
            <w:r w:rsidRPr="005C606F">
              <w:rPr>
                <w:rFonts w:ascii="Times New Roman" w:hAnsi="Times New Roman"/>
                <w:sz w:val="16"/>
                <w:szCs w:val="16"/>
                <w:lang w:val="sr-Cyrl-CS"/>
              </w:rPr>
              <w:t>10</w:t>
            </w:r>
          </w:p>
        </w:tc>
      </w:tr>
      <w:tr w:rsidR="005A5064" w:rsidRPr="005C606F" w14:paraId="082C97A3" w14:textId="77777777" w:rsidTr="005C606F">
        <w:trPr>
          <w:trHeight w:val="20"/>
        </w:trPr>
        <w:tc>
          <w:tcPr>
            <w:tcW w:w="4356" w:type="dxa"/>
            <w:gridSpan w:val="7"/>
            <w:vAlign w:val="center"/>
          </w:tcPr>
          <w:p w14:paraId="6D554231" w14:textId="77777777" w:rsidR="005A5064" w:rsidRPr="005C606F" w:rsidRDefault="005A5064" w:rsidP="005C606F">
            <w:pPr>
              <w:tabs>
                <w:tab w:val="left" w:pos="567"/>
              </w:tabs>
              <w:rPr>
                <w:rFonts w:ascii="Times New Roman" w:hAnsi="Times New Roman"/>
                <w:sz w:val="16"/>
                <w:szCs w:val="16"/>
                <w:lang w:val="sr-Cyrl-CS"/>
              </w:rPr>
            </w:pPr>
            <w:r w:rsidRPr="005C606F">
              <w:rPr>
                <w:rFonts w:ascii="Times New Roman" w:hAnsi="Times New Roman"/>
                <w:sz w:val="16"/>
                <w:szCs w:val="16"/>
                <w:lang w:val="sr-Cyrl-CS"/>
              </w:rPr>
              <w:t>Тренутно учешће на пројектима</w:t>
            </w:r>
          </w:p>
        </w:tc>
        <w:tc>
          <w:tcPr>
            <w:tcW w:w="1799" w:type="dxa"/>
            <w:gridSpan w:val="4"/>
            <w:vAlign w:val="center"/>
          </w:tcPr>
          <w:p w14:paraId="7AD9330E" w14:textId="39476FBB" w:rsidR="005A5064" w:rsidRPr="005C606F" w:rsidRDefault="005A5064" w:rsidP="005C606F">
            <w:pPr>
              <w:tabs>
                <w:tab w:val="left" w:pos="567"/>
              </w:tabs>
              <w:rPr>
                <w:rFonts w:ascii="Times New Roman" w:hAnsi="Times New Roman"/>
                <w:sz w:val="16"/>
                <w:szCs w:val="16"/>
                <w:lang w:val="sr-Cyrl-CS"/>
              </w:rPr>
            </w:pPr>
            <w:r w:rsidRPr="005C606F">
              <w:rPr>
                <w:rFonts w:ascii="Times New Roman" w:hAnsi="Times New Roman"/>
                <w:sz w:val="16"/>
                <w:szCs w:val="16"/>
                <w:lang w:val="sr-Cyrl-CS"/>
              </w:rPr>
              <w:t>Домаћи: 0</w:t>
            </w:r>
          </w:p>
        </w:tc>
        <w:tc>
          <w:tcPr>
            <w:tcW w:w="4195" w:type="dxa"/>
            <w:gridSpan w:val="3"/>
            <w:vAlign w:val="center"/>
          </w:tcPr>
          <w:p w14:paraId="79889798" w14:textId="0F2AD036" w:rsidR="005A5064" w:rsidRPr="005C606F" w:rsidRDefault="005A5064" w:rsidP="005C606F">
            <w:pPr>
              <w:tabs>
                <w:tab w:val="left" w:pos="567"/>
              </w:tabs>
              <w:rPr>
                <w:rFonts w:ascii="Times New Roman" w:hAnsi="Times New Roman"/>
                <w:sz w:val="16"/>
                <w:szCs w:val="16"/>
                <w:lang w:val="sr-Cyrl-CS"/>
              </w:rPr>
            </w:pPr>
            <w:r w:rsidRPr="005C606F">
              <w:rPr>
                <w:rFonts w:ascii="Times New Roman" w:hAnsi="Times New Roman"/>
                <w:sz w:val="16"/>
                <w:szCs w:val="16"/>
                <w:lang w:val="sr-Cyrl-CS"/>
              </w:rPr>
              <w:t>Међународни: 0</w:t>
            </w:r>
          </w:p>
        </w:tc>
      </w:tr>
      <w:tr w:rsidR="005C606F" w:rsidRPr="00491993" w14:paraId="604E1466" w14:textId="77777777" w:rsidTr="00517CD2">
        <w:trPr>
          <w:trHeight w:val="427"/>
        </w:trPr>
        <w:tc>
          <w:tcPr>
            <w:tcW w:w="10350" w:type="dxa"/>
            <w:gridSpan w:val="14"/>
          </w:tcPr>
          <w:p w14:paraId="57C21035" w14:textId="05024119" w:rsidR="005C606F" w:rsidRDefault="005C606F" w:rsidP="00213E50">
            <w:pPr>
              <w:tabs>
                <w:tab w:val="left" w:pos="567"/>
              </w:tabs>
              <w:rPr>
                <w:rFonts w:ascii="Times New Roman" w:hAnsi="Times New Roman"/>
                <w:sz w:val="20"/>
                <w:szCs w:val="20"/>
                <w:lang w:val="sr-Latn-RS"/>
              </w:rPr>
            </w:pPr>
            <w:r w:rsidRPr="005C606F">
              <w:rPr>
                <w:rFonts w:ascii="Times New Roman" w:hAnsi="Times New Roman"/>
                <w:sz w:val="20"/>
                <w:szCs w:val="20"/>
                <w:lang w:val="sr-Latn-RS"/>
              </w:rPr>
              <w:t>Усавршавања</w:t>
            </w:r>
            <w:r>
              <w:rPr>
                <w:rFonts w:ascii="Times New Roman" w:hAnsi="Times New Roman"/>
                <w:sz w:val="20"/>
                <w:szCs w:val="20"/>
                <w:lang w:val="sr-Latn-RS"/>
              </w:rPr>
              <w:t>:</w:t>
            </w:r>
          </w:p>
          <w:p w14:paraId="2785633B" w14:textId="77777777"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2018-06-08 – 2018-06-13   Institut Laue-Langevin, Neutron and X-ray Tomography in Grenoble, Grenoble, France </w:t>
            </w:r>
          </w:p>
          <w:p w14:paraId="55997A14" w14:textId="57424628"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Combined neutron and X-ray tomographic imaging study of bitumen emulsion-cement composites (UGA-36, instrument D50 T)</w:t>
            </w:r>
          </w:p>
          <w:p w14:paraId="1A0EEC7D" w14:textId="48312356"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2017-09 – 2018-08   Empa, Swiss Federal Laboratories for Materials Science and Technology, Functional Materials, Concrete / Construction Chemistry, Dübendorf, Switzerland</w:t>
            </w:r>
            <w:r>
              <w:rPr>
                <w:rFonts w:ascii="Times New Roman" w:hAnsi="Times New Roman"/>
                <w:sz w:val="16"/>
                <w:szCs w:val="16"/>
                <w:lang w:val="sr-Latn-RS"/>
              </w:rPr>
              <w:t xml:space="preserve">. </w:t>
            </w:r>
            <w:r w:rsidRPr="005C606F">
              <w:rPr>
                <w:rFonts w:ascii="Times New Roman" w:hAnsi="Times New Roman"/>
                <w:sz w:val="16"/>
                <w:szCs w:val="16"/>
                <w:lang w:val="sr-Cyrl-CS"/>
              </w:rPr>
              <w:t>Breakthrough in non-destructive research of physicochemical behaviour of bitumen emulsion-based composites</w:t>
            </w:r>
          </w:p>
          <w:p w14:paraId="7A955AC0" w14:textId="18E11A5D"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unded by Swiss Confederation, Federal Department of Economic Affairs, Education and Research, Federal Commission for Scholarships for Foreign Students, Swiss Government Excellence Scholarship for Foreign Scholars and Artists for the 2017–2018 Academic Year — Postdoctoral research (Reference: 2017.0020 / Serbien / OP, administrated by the ETH Zürich)</w:t>
            </w:r>
          </w:p>
          <w:p w14:paraId="12C6327C" w14:textId="1F9AFF92"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2016-08 </w:t>
            </w:r>
            <w:r w:rsidRPr="005C606F">
              <w:rPr>
                <w:rFonts w:ascii="Times New Roman" w:hAnsi="Times New Roman"/>
                <w:sz w:val="16"/>
                <w:szCs w:val="16"/>
                <w:lang w:val="sr-Cyrl-CS"/>
              </w:rPr>
              <w:tab/>
              <w:t>Norwegian University of Science and Technology (NTNU), Faculty of Engineering Science and Technology, Department of Civil and Transport Engineering, Trondheim, Norway</w:t>
            </w:r>
            <w:r>
              <w:rPr>
                <w:rFonts w:ascii="Times New Roman" w:hAnsi="Times New Roman"/>
                <w:sz w:val="16"/>
                <w:szCs w:val="16"/>
                <w:lang w:val="sr-Latn-RS"/>
              </w:rPr>
              <w:t xml:space="preserve"> </w:t>
            </w:r>
            <w:r w:rsidRPr="005C606F">
              <w:rPr>
                <w:rFonts w:ascii="Times New Roman" w:hAnsi="Times New Roman"/>
                <w:sz w:val="16"/>
                <w:szCs w:val="16"/>
                <w:lang w:val="sr-Cyrl-CS"/>
              </w:rPr>
              <w:t>Funded by Erasmus+ staff mobility for training</w:t>
            </w:r>
          </w:p>
          <w:p w14:paraId="4CF9C262" w14:textId="77777777"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2015-07 – 2015-08   Ruhr-Universität Bochum, Faculty of Civil and Environmental Engineering, Chair of Pavement Engineering, Bochum, Germany</w:t>
            </w:r>
          </w:p>
          <w:p w14:paraId="0ED818FC" w14:textId="075877D8"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Funded by German Academic Exchange Service (DAAD) programme Research Stays for University Academics and Scientists 2015 (Funding ID: 50015559)</w:t>
            </w:r>
          </w:p>
          <w:p w14:paraId="71BF382A" w14:textId="569B6A0B"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2013-09</w:t>
            </w:r>
            <w:r w:rsidRPr="005C606F">
              <w:rPr>
                <w:rFonts w:ascii="Times New Roman" w:hAnsi="Times New Roman"/>
                <w:sz w:val="16"/>
                <w:szCs w:val="16"/>
                <w:lang w:val="sr-Cyrl-CS"/>
              </w:rPr>
              <w:tab/>
              <w:t>AkzoNobel Surface Chemistry AB, Stenungsund, Sweden</w:t>
            </w:r>
            <w:r>
              <w:rPr>
                <w:rFonts w:ascii="Times New Roman" w:hAnsi="Times New Roman"/>
                <w:sz w:val="16"/>
                <w:szCs w:val="16"/>
                <w:lang w:val="sr-Latn-RS"/>
              </w:rPr>
              <w:t xml:space="preserve">. </w:t>
            </w:r>
            <w:r w:rsidRPr="005C606F">
              <w:rPr>
                <w:rFonts w:ascii="Times New Roman" w:hAnsi="Times New Roman"/>
                <w:sz w:val="16"/>
                <w:szCs w:val="16"/>
                <w:lang w:val="sr-Cyrl-CS"/>
              </w:rPr>
              <w:t>Funded by Ruhr-Universität Bochum Research School Plus programme for research stays</w:t>
            </w:r>
          </w:p>
          <w:p w14:paraId="5200A26A" w14:textId="5EBB8E23"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2011-06 – 2011-07   Vienna University of Technology, Faculty of Civil Engineering, Institute of Transportation, Centre of Road and Airfield Engineering, Vienna, Austria</w:t>
            </w:r>
            <w:r>
              <w:rPr>
                <w:rFonts w:ascii="Times New Roman" w:hAnsi="Times New Roman"/>
                <w:sz w:val="16"/>
                <w:szCs w:val="16"/>
                <w:lang w:val="sr-Latn-RS"/>
              </w:rPr>
              <w:t xml:space="preserve"> </w:t>
            </w:r>
            <w:r w:rsidRPr="005C606F">
              <w:rPr>
                <w:rFonts w:ascii="Times New Roman" w:hAnsi="Times New Roman"/>
                <w:sz w:val="16"/>
                <w:szCs w:val="16"/>
                <w:lang w:val="sr-Cyrl-CS"/>
              </w:rPr>
              <w:t>Funded by Vienna University of Technology programme for one-month research stay and cooperation establishment</w:t>
            </w:r>
          </w:p>
          <w:p w14:paraId="694E0045" w14:textId="77777777" w:rsidR="005C606F" w:rsidRPr="005C606F" w:rsidRDefault="005C606F" w:rsidP="00213E50">
            <w:pPr>
              <w:tabs>
                <w:tab w:val="left" w:pos="567"/>
              </w:tabs>
              <w:rPr>
                <w:rFonts w:ascii="Times New Roman" w:hAnsi="Times New Roman"/>
                <w:sz w:val="16"/>
                <w:szCs w:val="16"/>
                <w:lang w:val="sr-Cyrl-CS"/>
              </w:rPr>
            </w:pPr>
            <w:r w:rsidRPr="005C606F">
              <w:rPr>
                <w:rFonts w:ascii="Times New Roman" w:hAnsi="Times New Roman"/>
                <w:sz w:val="16"/>
                <w:szCs w:val="16"/>
                <w:lang w:val="sr-Cyrl-CS"/>
              </w:rPr>
              <w:t xml:space="preserve">2010-07 – 2010-09   Ruhr-Universität Bochum, Faculty of Civil and Environmental Engineering, Chair of Pavement Engineering, Bochum, Germany </w:t>
            </w:r>
          </w:p>
          <w:p w14:paraId="77C51F48" w14:textId="7A444B5D" w:rsidR="005C606F" w:rsidRPr="00491993" w:rsidRDefault="005C606F" w:rsidP="00213E50">
            <w:pPr>
              <w:tabs>
                <w:tab w:val="left" w:pos="567"/>
              </w:tabs>
              <w:rPr>
                <w:rFonts w:ascii="Times New Roman" w:hAnsi="Times New Roman"/>
                <w:sz w:val="20"/>
                <w:szCs w:val="20"/>
                <w:lang w:val="sr-Cyrl-CS"/>
              </w:rPr>
            </w:pPr>
            <w:r w:rsidRPr="005C606F">
              <w:rPr>
                <w:rFonts w:ascii="Times New Roman" w:hAnsi="Times New Roman"/>
                <w:sz w:val="16"/>
                <w:szCs w:val="16"/>
                <w:lang w:val="sr-Cyrl-CS"/>
              </w:rPr>
              <w:t>Funded by German Academic Exchange Service (DAAD) programme SIP: Study &amp; Internship Program in Germany (application submitted under Special Program for Serbia, Research Internship in Germany for Undergraduates and Graduates from Serbia) (Reference: PKZ: A/10/94609)</w:t>
            </w:r>
          </w:p>
        </w:tc>
      </w:tr>
      <w:tr w:rsidR="005A5064" w:rsidRPr="00491993" w14:paraId="547BB7B3" w14:textId="77777777" w:rsidTr="005C606F">
        <w:trPr>
          <w:trHeight w:val="20"/>
        </w:trPr>
        <w:tc>
          <w:tcPr>
            <w:tcW w:w="10350" w:type="dxa"/>
            <w:gridSpan w:val="14"/>
            <w:vAlign w:val="center"/>
          </w:tcPr>
          <w:p w14:paraId="2E718803" w14:textId="61FDDD69" w:rsidR="005A5064" w:rsidRPr="00491993" w:rsidRDefault="005A5064" w:rsidP="005C606F">
            <w:pPr>
              <w:tabs>
                <w:tab w:val="left" w:pos="567"/>
              </w:tabs>
              <w:rPr>
                <w:rFonts w:ascii="Times New Roman" w:hAnsi="Times New Roman"/>
                <w:sz w:val="20"/>
                <w:szCs w:val="20"/>
                <w:lang w:val="sr-Cyrl-CS"/>
              </w:rPr>
            </w:pPr>
            <w:r w:rsidRPr="00491993">
              <w:rPr>
                <w:rFonts w:ascii="Times New Roman" w:hAnsi="Times New Roman"/>
                <w:sz w:val="20"/>
                <w:szCs w:val="20"/>
                <w:lang w:val="sr-Cyrl-CS"/>
              </w:rPr>
              <w:t>Други подаци које сматрате релевантним</w:t>
            </w:r>
            <w:r>
              <w:rPr>
                <w:rFonts w:ascii="Times New Roman" w:hAnsi="Times New Roman"/>
                <w:sz w:val="20"/>
                <w:szCs w:val="20"/>
                <w:lang w:val="sr-Cyrl-CS"/>
              </w:rPr>
              <w:t>: —</w:t>
            </w:r>
          </w:p>
        </w:tc>
      </w:tr>
    </w:tbl>
    <w:p w14:paraId="64234BC0" w14:textId="77777777" w:rsidR="00491993" w:rsidRPr="00491993" w:rsidRDefault="00491993" w:rsidP="005C606F">
      <w:pPr>
        <w:tabs>
          <w:tab w:val="left" w:pos="567"/>
        </w:tabs>
        <w:spacing w:after="60"/>
        <w:jc w:val="both"/>
        <w:rPr>
          <w:rFonts w:ascii="Times New Roman" w:hAnsi="Times New Roman"/>
          <w:sz w:val="20"/>
          <w:szCs w:val="20"/>
          <w:lang w:val="en-US"/>
        </w:rPr>
      </w:pPr>
    </w:p>
    <w:sectPr w:rsidR="00491993" w:rsidRPr="00491993" w:rsidSect="005C606F">
      <w:footerReference w:type="default" r:id="rId8"/>
      <w:pgSz w:w="11907" w:h="16840" w:code="9"/>
      <w:pgMar w:top="680" w:right="567"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DED0B" w14:textId="77777777" w:rsidR="00793EF8" w:rsidRDefault="00793EF8" w:rsidP="005A4C35">
      <w:r>
        <w:separator/>
      </w:r>
    </w:p>
  </w:endnote>
  <w:endnote w:type="continuationSeparator" w:id="0">
    <w:p w14:paraId="7B52F60D" w14:textId="77777777" w:rsidR="00793EF8" w:rsidRDefault="00793EF8" w:rsidP="005A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AC6ED" w14:textId="77777777" w:rsidR="005A4C35" w:rsidRDefault="005A4C35">
    <w:pPr>
      <w:pStyle w:val="Footer"/>
      <w:jc w:val="right"/>
    </w:pPr>
    <w:r>
      <w:fldChar w:fldCharType="begin"/>
    </w:r>
    <w:r>
      <w:instrText xml:space="preserve"> PAGE   \* MERGEFORMAT </w:instrText>
    </w:r>
    <w:r>
      <w:fldChar w:fldCharType="separate"/>
    </w:r>
    <w:r w:rsidR="005C606F">
      <w:rPr>
        <w:noProof/>
      </w:rPr>
      <w:t>1</w:t>
    </w:r>
    <w:r>
      <w:rPr>
        <w:noProof/>
      </w:rPr>
      <w:fldChar w:fldCharType="end"/>
    </w:r>
  </w:p>
  <w:p w14:paraId="617E51EE" w14:textId="77777777" w:rsidR="005A4C35" w:rsidRDefault="005A4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EF85A" w14:textId="77777777" w:rsidR="00793EF8" w:rsidRDefault="00793EF8" w:rsidP="005A4C35">
      <w:r>
        <w:separator/>
      </w:r>
    </w:p>
  </w:footnote>
  <w:footnote w:type="continuationSeparator" w:id="0">
    <w:p w14:paraId="25BEE9C5" w14:textId="77777777" w:rsidR="00793EF8" w:rsidRDefault="00793EF8" w:rsidP="005A4C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847EC"/>
    <w:multiLevelType w:val="hybridMultilevel"/>
    <w:tmpl w:val="66EC00B8"/>
    <w:lvl w:ilvl="0" w:tplc="EF4CFF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DC7C94"/>
    <w:multiLevelType w:val="hybridMultilevel"/>
    <w:tmpl w:val="21E6C062"/>
    <w:lvl w:ilvl="0" w:tplc="277C282C">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B2575"/>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4AC2DB3"/>
    <w:multiLevelType w:val="hybridMultilevel"/>
    <w:tmpl w:val="DB888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9429A"/>
    <w:multiLevelType w:val="hybridMultilevel"/>
    <w:tmpl w:val="C550048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5C8E7435"/>
    <w:multiLevelType w:val="hybridMultilevel"/>
    <w:tmpl w:val="ED14B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AC14D9"/>
    <w:multiLevelType w:val="hybridMultilevel"/>
    <w:tmpl w:val="21E6C062"/>
    <w:lvl w:ilvl="0" w:tplc="277C282C">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B636B6"/>
    <w:multiLevelType w:val="hybridMultilevel"/>
    <w:tmpl w:val="2EB05BDE"/>
    <w:lvl w:ilvl="0" w:tplc="277C282C">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E58A9"/>
    <w:multiLevelType w:val="hybridMultilevel"/>
    <w:tmpl w:val="0F7EBAFC"/>
    <w:lvl w:ilvl="0" w:tplc="277C282C">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87BC5"/>
    <w:multiLevelType w:val="hybridMultilevel"/>
    <w:tmpl w:val="F5E88FC8"/>
    <w:lvl w:ilvl="0" w:tplc="277C282C">
      <w:start w:val="1"/>
      <w:numFmt w:val="decimal"/>
      <w:lvlText w:val="%1."/>
      <w:lvlJc w:val="left"/>
      <w:pPr>
        <w:ind w:left="72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8"/>
  </w:num>
  <w:num w:numId="5">
    <w:abstractNumId w:val="7"/>
  </w:num>
  <w:num w:numId="6">
    <w:abstractNumId w:val="1"/>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E2"/>
    <w:rsid w:val="00081151"/>
    <w:rsid w:val="00085D06"/>
    <w:rsid w:val="00092214"/>
    <w:rsid w:val="0009603B"/>
    <w:rsid w:val="000B76BC"/>
    <w:rsid w:val="000D4C2C"/>
    <w:rsid w:val="001D2D6F"/>
    <w:rsid w:val="00213E50"/>
    <w:rsid w:val="00217AA5"/>
    <w:rsid w:val="002314C3"/>
    <w:rsid w:val="00245161"/>
    <w:rsid w:val="00293554"/>
    <w:rsid w:val="0034057C"/>
    <w:rsid w:val="00342149"/>
    <w:rsid w:val="0037541D"/>
    <w:rsid w:val="003B12FC"/>
    <w:rsid w:val="003D7D7E"/>
    <w:rsid w:val="004372ED"/>
    <w:rsid w:val="00473DA4"/>
    <w:rsid w:val="00491993"/>
    <w:rsid w:val="004A0BD0"/>
    <w:rsid w:val="004A5365"/>
    <w:rsid w:val="004B32D3"/>
    <w:rsid w:val="004D04A6"/>
    <w:rsid w:val="00504B9A"/>
    <w:rsid w:val="005162D8"/>
    <w:rsid w:val="00524C19"/>
    <w:rsid w:val="00532D97"/>
    <w:rsid w:val="00535C05"/>
    <w:rsid w:val="005921EA"/>
    <w:rsid w:val="005A4C35"/>
    <w:rsid w:val="005A5064"/>
    <w:rsid w:val="005C606F"/>
    <w:rsid w:val="005F355E"/>
    <w:rsid w:val="00693015"/>
    <w:rsid w:val="00695869"/>
    <w:rsid w:val="006A4922"/>
    <w:rsid w:val="006E4988"/>
    <w:rsid w:val="006E7ED0"/>
    <w:rsid w:val="00732DBB"/>
    <w:rsid w:val="0074215C"/>
    <w:rsid w:val="00771730"/>
    <w:rsid w:val="0078473B"/>
    <w:rsid w:val="00785BFE"/>
    <w:rsid w:val="00793EF8"/>
    <w:rsid w:val="007E175A"/>
    <w:rsid w:val="007F5D13"/>
    <w:rsid w:val="00817D28"/>
    <w:rsid w:val="00834605"/>
    <w:rsid w:val="00840980"/>
    <w:rsid w:val="0084457E"/>
    <w:rsid w:val="00876D2E"/>
    <w:rsid w:val="008C7A0E"/>
    <w:rsid w:val="009029EB"/>
    <w:rsid w:val="00911748"/>
    <w:rsid w:val="009210E4"/>
    <w:rsid w:val="009508DB"/>
    <w:rsid w:val="00990BB1"/>
    <w:rsid w:val="00996DA5"/>
    <w:rsid w:val="00A023E2"/>
    <w:rsid w:val="00A5004B"/>
    <w:rsid w:val="00A5284A"/>
    <w:rsid w:val="00A71BAC"/>
    <w:rsid w:val="00A93E9A"/>
    <w:rsid w:val="00AC0E94"/>
    <w:rsid w:val="00B63774"/>
    <w:rsid w:val="00C351D2"/>
    <w:rsid w:val="00C42611"/>
    <w:rsid w:val="00C502E3"/>
    <w:rsid w:val="00C92B88"/>
    <w:rsid w:val="00CA784F"/>
    <w:rsid w:val="00D50576"/>
    <w:rsid w:val="00D56D22"/>
    <w:rsid w:val="00D87D1F"/>
    <w:rsid w:val="00DB5296"/>
    <w:rsid w:val="00DE753D"/>
    <w:rsid w:val="00DF0B12"/>
    <w:rsid w:val="00E7759E"/>
    <w:rsid w:val="00E96EB0"/>
    <w:rsid w:val="00EF1FF3"/>
    <w:rsid w:val="00F00F5D"/>
    <w:rsid w:val="00F21102"/>
    <w:rsid w:val="00F31C09"/>
    <w:rsid w:val="00F34AB5"/>
    <w:rsid w:val="00F34ABD"/>
    <w:rsid w:val="00F41627"/>
    <w:rsid w:val="00FE7DE6"/>
    <w:rsid w:val="00FF5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sr-Cyrl-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4C35"/>
    <w:rPr>
      <w:color w:val="0000FF"/>
      <w:u w:val="single"/>
    </w:rPr>
  </w:style>
  <w:style w:type="paragraph" w:styleId="Header">
    <w:name w:val="header"/>
    <w:basedOn w:val="Normal"/>
    <w:link w:val="HeaderChar"/>
    <w:uiPriority w:val="99"/>
    <w:unhideWhenUsed/>
    <w:rsid w:val="005A4C35"/>
    <w:pPr>
      <w:tabs>
        <w:tab w:val="center" w:pos="4680"/>
        <w:tab w:val="right" w:pos="9360"/>
      </w:tabs>
    </w:pPr>
    <w:rPr>
      <w:lang w:eastAsia="x-none"/>
    </w:rPr>
  </w:style>
  <w:style w:type="character" w:customStyle="1" w:styleId="HeaderChar">
    <w:name w:val="Header Char"/>
    <w:link w:val="Header"/>
    <w:uiPriority w:val="99"/>
    <w:rsid w:val="005A4C35"/>
    <w:rPr>
      <w:sz w:val="22"/>
      <w:szCs w:val="22"/>
      <w:lang w:val="sr-Cyrl-RS"/>
    </w:rPr>
  </w:style>
  <w:style w:type="paragraph" w:styleId="Footer">
    <w:name w:val="footer"/>
    <w:basedOn w:val="Normal"/>
    <w:link w:val="FooterChar"/>
    <w:uiPriority w:val="99"/>
    <w:unhideWhenUsed/>
    <w:rsid w:val="005A4C35"/>
    <w:pPr>
      <w:tabs>
        <w:tab w:val="center" w:pos="4680"/>
        <w:tab w:val="right" w:pos="9360"/>
      </w:tabs>
    </w:pPr>
    <w:rPr>
      <w:lang w:eastAsia="x-none"/>
    </w:rPr>
  </w:style>
  <w:style w:type="character" w:customStyle="1" w:styleId="FooterChar">
    <w:name w:val="Footer Char"/>
    <w:link w:val="Footer"/>
    <w:uiPriority w:val="99"/>
    <w:rsid w:val="005A4C35"/>
    <w:rPr>
      <w:sz w:val="22"/>
      <w:szCs w:val="22"/>
      <w:lang w:val="sr-Cyrl-RS"/>
    </w:rPr>
  </w:style>
  <w:style w:type="paragraph" w:styleId="BalloonText">
    <w:name w:val="Balloon Text"/>
    <w:basedOn w:val="Normal"/>
    <w:link w:val="BalloonTextChar"/>
    <w:uiPriority w:val="99"/>
    <w:semiHidden/>
    <w:unhideWhenUsed/>
    <w:rsid w:val="00876D2E"/>
    <w:rPr>
      <w:rFonts w:ascii="Tahoma" w:hAnsi="Tahoma" w:cs="Tahoma"/>
      <w:sz w:val="16"/>
      <w:szCs w:val="16"/>
    </w:rPr>
  </w:style>
  <w:style w:type="character" w:customStyle="1" w:styleId="BalloonTextChar">
    <w:name w:val="Balloon Text Char"/>
    <w:basedOn w:val="DefaultParagraphFont"/>
    <w:link w:val="BalloonText"/>
    <w:uiPriority w:val="99"/>
    <w:semiHidden/>
    <w:rsid w:val="00876D2E"/>
    <w:rPr>
      <w:rFonts w:ascii="Tahoma" w:hAnsi="Tahoma" w:cs="Tahoma"/>
      <w:sz w:val="16"/>
      <w:szCs w:val="16"/>
      <w:lang w:val="sr-Cyrl-RS"/>
    </w:rPr>
  </w:style>
  <w:style w:type="paragraph" w:styleId="ListParagraph">
    <w:name w:val="List Paragraph"/>
    <w:basedOn w:val="Normal"/>
    <w:uiPriority w:val="34"/>
    <w:qFormat/>
    <w:rsid w:val="00F0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sr-Cyrl-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A4C35"/>
    <w:rPr>
      <w:color w:val="0000FF"/>
      <w:u w:val="single"/>
    </w:rPr>
  </w:style>
  <w:style w:type="paragraph" w:styleId="Header">
    <w:name w:val="header"/>
    <w:basedOn w:val="Normal"/>
    <w:link w:val="HeaderChar"/>
    <w:uiPriority w:val="99"/>
    <w:unhideWhenUsed/>
    <w:rsid w:val="005A4C35"/>
    <w:pPr>
      <w:tabs>
        <w:tab w:val="center" w:pos="4680"/>
        <w:tab w:val="right" w:pos="9360"/>
      </w:tabs>
    </w:pPr>
    <w:rPr>
      <w:lang w:eastAsia="x-none"/>
    </w:rPr>
  </w:style>
  <w:style w:type="character" w:customStyle="1" w:styleId="HeaderChar">
    <w:name w:val="Header Char"/>
    <w:link w:val="Header"/>
    <w:uiPriority w:val="99"/>
    <w:rsid w:val="005A4C35"/>
    <w:rPr>
      <w:sz w:val="22"/>
      <w:szCs w:val="22"/>
      <w:lang w:val="sr-Cyrl-RS"/>
    </w:rPr>
  </w:style>
  <w:style w:type="paragraph" w:styleId="Footer">
    <w:name w:val="footer"/>
    <w:basedOn w:val="Normal"/>
    <w:link w:val="FooterChar"/>
    <w:uiPriority w:val="99"/>
    <w:unhideWhenUsed/>
    <w:rsid w:val="005A4C35"/>
    <w:pPr>
      <w:tabs>
        <w:tab w:val="center" w:pos="4680"/>
        <w:tab w:val="right" w:pos="9360"/>
      </w:tabs>
    </w:pPr>
    <w:rPr>
      <w:lang w:eastAsia="x-none"/>
    </w:rPr>
  </w:style>
  <w:style w:type="character" w:customStyle="1" w:styleId="FooterChar">
    <w:name w:val="Footer Char"/>
    <w:link w:val="Footer"/>
    <w:uiPriority w:val="99"/>
    <w:rsid w:val="005A4C35"/>
    <w:rPr>
      <w:sz w:val="22"/>
      <w:szCs w:val="22"/>
      <w:lang w:val="sr-Cyrl-RS"/>
    </w:rPr>
  </w:style>
  <w:style w:type="paragraph" w:styleId="BalloonText">
    <w:name w:val="Balloon Text"/>
    <w:basedOn w:val="Normal"/>
    <w:link w:val="BalloonTextChar"/>
    <w:uiPriority w:val="99"/>
    <w:semiHidden/>
    <w:unhideWhenUsed/>
    <w:rsid w:val="00876D2E"/>
    <w:rPr>
      <w:rFonts w:ascii="Tahoma" w:hAnsi="Tahoma" w:cs="Tahoma"/>
      <w:sz w:val="16"/>
      <w:szCs w:val="16"/>
    </w:rPr>
  </w:style>
  <w:style w:type="character" w:customStyle="1" w:styleId="BalloonTextChar">
    <w:name w:val="Balloon Text Char"/>
    <w:basedOn w:val="DefaultParagraphFont"/>
    <w:link w:val="BalloonText"/>
    <w:uiPriority w:val="99"/>
    <w:semiHidden/>
    <w:rsid w:val="00876D2E"/>
    <w:rPr>
      <w:rFonts w:ascii="Tahoma" w:hAnsi="Tahoma" w:cs="Tahoma"/>
      <w:sz w:val="16"/>
      <w:szCs w:val="16"/>
      <w:lang w:val="sr-Cyrl-RS"/>
    </w:rPr>
  </w:style>
  <w:style w:type="paragraph" w:styleId="ListParagraph">
    <w:name w:val="List Paragraph"/>
    <w:basedOn w:val="Normal"/>
    <w:uiPriority w:val="34"/>
    <w:qFormat/>
    <w:rsid w:val="00F0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ТАБЕЛЕ У ДОКУМЕНТАЦИЈИ ЗА АКРЕДИТАЦИЈУ СТУДИЈСКОГ ПРОГРАМА</vt:lpstr>
    </vt:vector>
  </TitlesOfParts>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ТАБЕЛЕ У ДОКУМЕНТАЦИЈИ ЗА АКРЕДИТАЦИЈУ СТУДИЈСКОГ ПРОГРАМА</dc:title>
  <dc:creator>mane</dc:creator>
  <cp:lastModifiedBy>Radovan</cp:lastModifiedBy>
  <cp:revision>6</cp:revision>
  <dcterms:created xsi:type="dcterms:W3CDTF">2020-06-17T08:37:00Z</dcterms:created>
  <dcterms:modified xsi:type="dcterms:W3CDTF">2020-06-21T10:12:00Z</dcterms:modified>
</cp:coreProperties>
</file>