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19" w:rsidRPr="005F1C6A" w:rsidRDefault="00BD7019" w:rsidP="00283CF2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p w:rsidR="00BD7019" w:rsidRDefault="00BD7019" w:rsidP="00BD7019">
      <w:pPr>
        <w:rPr>
          <w:lang w:val="ru-RU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085"/>
        <w:gridCol w:w="2693"/>
        <w:gridCol w:w="4977"/>
      </w:tblGrid>
      <w:tr w:rsidR="00735DF2" w:rsidRPr="00421954" w:rsidTr="00735DF2">
        <w:tc>
          <w:tcPr>
            <w:tcW w:w="10755" w:type="dxa"/>
            <w:gridSpan w:val="3"/>
          </w:tcPr>
          <w:p w:rsidR="00735DF2" w:rsidRPr="008C155F" w:rsidRDefault="00735DF2" w:rsidP="00916BFF">
            <w:pPr>
              <w:rPr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8C155F">
              <w:rPr>
                <w:b/>
                <w:bCs/>
                <w:sz w:val="20"/>
                <w:szCs w:val="20"/>
                <w:lang w:val="ru-RU"/>
              </w:rPr>
              <w:t>МАТРИЧНИ И ТЕНЗОРСКИ РАЧУН</w:t>
            </w:r>
          </w:p>
        </w:tc>
      </w:tr>
      <w:tr w:rsidR="00BD7019" w:rsidRPr="00421954" w:rsidTr="00735DF2">
        <w:tc>
          <w:tcPr>
            <w:tcW w:w="10755" w:type="dxa"/>
            <w:gridSpan w:val="3"/>
          </w:tcPr>
          <w:p w:rsidR="00BD7019" w:rsidRPr="008C155F" w:rsidRDefault="00BD7019" w:rsidP="00E44D81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Наставник или наставници:</w:t>
            </w:r>
            <w:r w:rsidR="00B05687" w:rsidRPr="008C155F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bookmarkEnd w:id="0"/>
            <w:r w:rsidR="00E44D81">
              <w:fldChar w:fldCharType="begin"/>
            </w:r>
            <w:r w:rsidR="00E44D81">
              <w:instrText xml:space="preserve"> HYPERLINK "../Kompetentnost%20nastavnika%20DAS%20G/49_DAS%20(G)%20Kompetentnost%20nastavnika%20Katarina%2</w:instrText>
            </w:r>
            <w:r w:rsidR="00E44D81">
              <w:instrText xml:space="preserve">0Petković%20(2).doc" </w:instrText>
            </w:r>
            <w:r w:rsidR="00E44D81">
              <w:fldChar w:fldCharType="separate"/>
            </w:r>
            <w:r w:rsidR="00421954" w:rsidRPr="00FF3BCD">
              <w:rPr>
                <w:rStyle w:val="Hyperlink"/>
                <w:b/>
                <w:bCs/>
                <w:sz w:val="20"/>
                <w:szCs w:val="20"/>
                <w:lang w:val="sr-Cyrl-RS"/>
              </w:rPr>
              <w:t>Катарина Петковић</w:t>
            </w:r>
            <w:r w:rsidR="00E44D81">
              <w:rPr>
                <w:rStyle w:val="Hyperlink"/>
                <w:b/>
                <w:bCs/>
                <w:sz w:val="20"/>
                <w:szCs w:val="20"/>
                <w:lang w:val="sr-Cyrl-RS"/>
              </w:rPr>
              <w:fldChar w:fldCharType="end"/>
            </w:r>
            <w:r w:rsidR="004D3270" w:rsidRPr="008C155F">
              <w:rPr>
                <w:b/>
                <w:sz w:val="20"/>
                <w:szCs w:val="20"/>
                <w:lang w:val="sr-Cyrl-RS"/>
              </w:rPr>
              <w:t xml:space="preserve">, </w:t>
            </w:r>
            <w:hyperlink r:id="rId4" w:history="1">
              <w:r w:rsidR="00421954" w:rsidRPr="00FF3BCD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Предраг М. Поповић</w:t>
              </w:r>
            </w:hyperlink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283CF2" w:rsidRDefault="00BD7019" w:rsidP="008F2B24">
            <w:pPr>
              <w:rPr>
                <w:b/>
                <w:sz w:val="20"/>
                <w:szCs w:val="20"/>
                <w:lang w:val="ru-RU"/>
              </w:rPr>
            </w:pPr>
            <w:r w:rsidRPr="00283CF2"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="00283CF2">
              <w:rPr>
                <w:b/>
                <w:color w:val="000000"/>
                <w:sz w:val="20"/>
                <w:szCs w:val="20"/>
                <w:lang w:val="ru-RU"/>
              </w:rPr>
              <w:t xml:space="preserve"> И</w:t>
            </w:r>
            <w:r w:rsidR="00B05687" w:rsidRPr="00283CF2">
              <w:rPr>
                <w:b/>
                <w:color w:val="000000"/>
                <w:sz w:val="20"/>
                <w:szCs w:val="20"/>
                <w:lang w:val="ru-RU"/>
              </w:rPr>
              <w:t>зборни</w:t>
            </w:r>
            <w:r w:rsidR="00735DF2" w:rsidRPr="00283CF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283CF2" w:rsidRDefault="00BD7019" w:rsidP="00735DF2">
            <w:pPr>
              <w:rPr>
                <w:b/>
                <w:sz w:val="20"/>
                <w:szCs w:val="20"/>
                <w:lang w:val="ru-RU"/>
              </w:rPr>
            </w:pPr>
            <w:r w:rsidRPr="00283CF2">
              <w:rPr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283CF2">
              <w:rPr>
                <w:b/>
                <w:bCs/>
                <w:sz w:val="20"/>
                <w:szCs w:val="20"/>
                <w:lang w:val="ru-RU"/>
              </w:rPr>
              <w:t>:</w:t>
            </w:r>
            <w:r w:rsidR="00B05687" w:rsidRPr="00283CF2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35DF2" w:rsidRPr="00283CF2">
              <w:rPr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Услов</w:t>
            </w:r>
            <w:r w:rsidRPr="008C155F">
              <w:rPr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BD7019" w:rsidRPr="008C155F" w:rsidRDefault="00BD7019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  <w:p w:rsidR="00BD7019" w:rsidRPr="008C155F" w:rsidRDefault="00B05687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 Стица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неопходних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зна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ради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ћ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е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наставе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из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стру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них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предмета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BD7019" w:rsidRPr="008C155F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 w:rsidR="00BD7019" w:rsidRPr="008C155F" w:rsidRDefault="00B05687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Оспособ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љ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еност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за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примену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матри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ног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и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тензорског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ра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уна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у научно-истраживачком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процесу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  <w:tr w:rsidR="00BD7019" w:rsidRPr="00AA6A4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BD7019" w:rsidRPr="008C155F" w:rsidRDefault="00B05687" w:rsidP="001E618F">
            <w:pPr>
              <w:spacing w:before="120" w:after="120" w:line="340" w:lineRule="atLeast"/>
              <w:ind w:left="187" w:right="374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Детерминанте. Векторски простори. Линеарна пресликава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а векторских простора. Алгебра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матрица и неке специјалне матрице. Разбијање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матрице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на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блокове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Системи</w:t>
            </w:r>
            <w:r w:rsidR="00B2662D" w:rsidRPr="008C155F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линеарних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једна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ч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ина</w:t>
            </w:r>
            <w:r w:rsidRPr="008C155F">
              <w:rPr>
                <w:color w:val="000000"/>
                <w:sz w:val="20"/>
                <w:szCs w:val="20"/>
                <w:lang w:val="ru-RU"/>
              </w:rPr>
              <w:t>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Спектрална теорија матрица. Жорданова канонска форма.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Матричне функције и матрице чији су елементи функције. Уводна разматрања о тензорима. Тензорска алгебра и елементи тензорске анализе. Примена тензора у геометрији и механици</w:t>
            </w:r>
            <w:r w:rsidRPr="008C155F">
              <w:rPr>
                <w:color w:val="000000"/>
                <w:sz w:val="20"/>
                <w:szCs w:val="20"/>
                <w:lang w:val="sr-Latn-CS"/>
              </w:rPr>
              <w:t>.</w:t>
            </w:r>
          </w:p>
        </w:tc>
      </w:tr>
      <w:tr w:rsidR="00BD7019" w:rsidRPr="00421954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 xml:space="preserve">Препоручена литература </w:t>
            </w:r>
          </w:p>
          <w:p w:rsidR="00B05687" w:rsidRPr="008C155F" w:rsidRDefault="00B05687" w:rsidP="00B05687">
            <w:pPr>
              <w:spacing w:before="120" w:after="120"/>
              <w:ind w:left="720" w:hanging="540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sr-Cyrl-CS"/>
              </w:rPr>
              <w:t>1)  </w:t>
            </w:r>
            <w:r w:rsidR="00764435" w:rsidRPr="008C155F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Д. С. Митриновић, Д. Ж. Ђоковић: Полиноми и матрице, Научна књига, Београд,</w:t>
            </w:r>
            <w:r w:rsidRPr="008C155F">
              <w:rPr>
                <w:color w:val="000000"/>
                <w:sz w:val="20"/>
                <w:szCs w:val="20"/>
              </w:rPr>
              <w:t> 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1991.</w:t>
            </w:r>
          </w:p>
          <w:p w:rsidR="00B05687" w:rsidRPr="008C155F" w:rsidRDefault="00B05687" w:rsidP="00B05687">
            <w:pPr>
              <w:spacing w:before="120" w:after="120"/>
              <w:ind w:left="360" w:hanging="180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sr-Cyrl-CS"/>
              </w:rPr>
              <w:t>2)  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Ј.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Д.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 Кечкић: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Алгебра</w:t>
            </w:r>
            <w:r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1, Привредни преглед, Београд, 1973.</w:t>
            </w:r>
          </w:p>
          <w:p w:rsidR="00BD7019" w:rsidRPr="008C155F" w:rsidRDefault="00B05687" w:rsidP="00764435">
            <w:pPr>
              <w:spacing w:before="120" w:after="360"/>
              <w:ind w:firstLine="187"/>
              <w:rPr>
                <w:color w:val="000000"/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sr-Cyrl-CS"/>
              </w:rPr>
              <w:t>3) </w:t>
            </w:r>
            <w:r w:rsidR="00764435" w:rsidRPr="008C155F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 xml:space="preserve">  </w:t>
            </w:r>
            <w:r w:rsidRPr="008C155F">
              <w:rPr>
                <w:color w:val="000000"/>
                <w:sz w:val="20"/>
                <w:szCs w:val="20"/>
              </w:rPr>
              <w:t>T</w:t>
            </w:r>
            <w:r w:rsidRPr="008C155F">
              <w:rPr>
                <w:color w:val="000000"/>
                <w:sz w:val="20"/>
                <w:szCs w:val="20"/>
                <w:lang w:val="sr-Cyrl-CS"/>
              </w:rPr>
              <w:t>. П. Анђелић: Тензорски рачун, Научна књига, Београд, 1991.  </w:t>
            </w:r>
          </w:p>
        </w:tc>
      </w:tr>
      <w:tr w:rsidR="00BD7019" w:rsidRPr="009B28D5" w:rsidTr="007329D2">
        <w:tc>
          <w:tcPr>
            <w:tcW w:w="3085" w:type="dxa"/>
          </w:tcPr>
          <w:p w:rsidR="00BD7019" w:rsidRPr="009B28D5" w:rsidRDefault="00BD701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9B28D5"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9B28D5"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693" w:type="dxa"/>
          </w:tcPr>
          <w:p w:rsidR="00BD7019" w:rsidRPr="009B28D5" w:rsidRDefault="009B28D5" w:rsidP="0078467E">
            <w:pPr>
              <w:rPr>
                <w:b/>
                <w:bCs/>
                <w:sz w:val="20"/>
                <w:szCs w:val="20"/>
              </w:rPr>
            </w:pPr>
            <w:r w:rsidRPr="009B28D5">
              <w:rPr>
                <w:b/>
                <w:bCs/>
                <w:sz w:val="20"/>
                <w:szCs w:val="20"/>
                <w:lang w:val="sr-Cyrl-CS"/>
              </w:rPr>
              <w:t>Теоријска настава</w:t>
            </w:r>
            <w:r w:rsidR="00BD7019" w:rsidRPr="009B28D5">
              <w:rPr>
                <w:b/>
                <w:sz w:val="20"/>
                <w:szCs w:val="20"/>
                <w:lang w:val="sr-Cyrl-CS"/>
              </w:rPr>
              <w:t>:</w:t>
            </w:r>
            <w:r w:rsidR="00B05687" w:rsidRPr="009B28D5">
              <w:rPr>
                <w:b/>
                <w:sz w:val="20"/>
                <w:szCs w:val="20"/>
              </w:rPr>
              <w:t xml:space="preserve"> </w:t>
            </w:r>
            <w:r w:rsidR="0078467E" w:rsidRPr="009B28D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977" w:type="dxa"/>
          </w:tcPr>
          <w:p w:rsidR="00BD7019" w:rsidRPr="009B28D5" w:rsidRDefault="009B28D5" w:rsidP="0078467E">
            <w:pPr>
              <w:rPr>
                <w:b/>
                <w:bCs/>
                <w:sz w:val="20"/>
                <w:szCs w:val="20"/>
              </w:rPr>
            </w:pPr>
            <w:r w:rsidRPr="009B28D5">
              <w:rPr>
                <w:b/>
                <w:bCs/>
                <w:sz w:val="20"/>
                <w:szCs w:val="20"/>
                <w:lang w:val="sr-Cyrl-CS"/>
              </w:rPr>
              <w:t>Практична настава</w:t>
            </w:r>
            <w:r w:rsidR="00BD7019" w:rsidRPr="009B28D5">
              <w:rPr>
                <w:b/>
                <w:sz w:val="20"/>
                <w:szCs w:val="20"/>
                <w:lang w:val="ru-RU"/>
              </w:rPr>
              <w:t>:</w:t>
            </w:r>
            <w:r w:rsidR="00B05687" w:rsidRPr="009B28D5">
              <w:rPr>
                <w:b/>
                <w:sz w:val="20"/>
                <w:szCs w:val="20"/>
              </w:rPr>
              <w:t xml:space="preserve"> </w:t>
            </w:r>
            <w:r w:rsidR="0078467E" w:rsidRPr="009B28D5">
              <w:rPr>
                <w:b/>
                <w:sz w:val="20"/>
                <w:szCs w:val="20"/>
              </w:rPr>
              <w:t>2</w:t>
            </w:r>
          </w:p>
        </w:tc>
      </w:tr>
      <w:tr w:rsidR="00BD7019" w:rsidRPr="00D617EF" w:rsidTr="00735DF2">
        <w:tc>
          <w:tcPr>
            <w:tcW w:w="10755" w:type="dxa"/>
            <w:gridSpan w:val="3"/>
          </w:tcPr>
          <w:p w:rsidR="00BD7019" w:rsidRPr="008C155F" w:rsidRDefault="00BD7019" w:rsidP="008F2B24">
            <w:pPr>
              <w:rPr>
                <w:bCs/>
                <w:sz w:val="20"/>
                <w:szCs w:val="20"/>
                <w:lang w:val="sr-Cyrl-CS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BD7019" w:rsidRPr="008C155F" w:rsidRDefault="00BD7019" w:rsidP="008F2B24">
            <w:pPr>
              <w:rPr>
                <w:sz w:val="20"/>
                <w:szCs w:val="20"/>
                <w:lang w:val="sr-Cyrl-CS"/>
              </w:rPr>
            </w:pPr>
          </w:p>
          <w:p w:rsidR="00BD7019" w:rsidRPr="008C155F" w:rsidRDefault="00B05687" w:rsidP="008F2B24">
            <w:pPr>
              <w:rPr>
                <w:sz w:val="20"/>
                <w:szCs w:val="20"/>
                <w:lang w:val="sr-Cyrl-CS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Предавања и вежбе или менторски.</w:t>
            </w:r>
          </w:p>
          <w:p w:rsidR="00BD7019" w:rsidRPr="008C155F" w:rsidRDefault="00BD7019" w:rsidP="008F2B24">
            <w:pPr>
              <w:rPr>
                <w:sz w:val="20"/>
                <w:szCs w:val="20"/>
                <w:lang w:val="sr-Cyrl-CS"/>
              </w:rPr>
            </w:pPr>
          </w:p>
        </w:tc>
      </w:tr>
      <w:tr w:rsidR="00BD7019" w:rsidRPr="00E672BA" w:rsidTr="00735DF2">
        <w:tc>
          <w:tcPr>
            <w:tcW w:w="10755" w:type="dxa"/>
            <w:gridSpan w:val="3"/>
          </w:tcPr>
          <w:p w:rsidR="00BD7019" w:rsidRPr="008C155F" w:rsidRDefault="00BD7019" w:rsidP="008C15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8C155F"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  <w:p w:rsidR="00B05687" w:rsidRPr="008C155F" w:rsidRDefault="00B05687" w:rsidP="008C155F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Писмени испит  50         </w:t>
            </w:r>
          </w:p>
          <w:p w:rsidR="00BD7019" w:rsidRPr="008C155F" w:rsidRDefault="00B05687" w:rsidP="008C155F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C155F">
              <w:rPr>
                <w:color w:val="000000"/>
                <w:sz w:val="20"/>
                <w:szCs w:val="20"/>
                <w:lang w:val="ru-RU"/>
              </w:rPr>
              <w:t>Усмени испит   50</w:t>
            </w:r>
          </w:p>
        </w:tc>
      </w:tr>
    </w:tbl>
    <w:p w:rsidR="00B079AC" w:rsidRPr="00D617EF" w:rsidRDefault="00B079AC">
      <w:pPr>
        <w:rPr>
          <w:lang w:val="ru-RU"/>
        </w:rPr>
      </w:pPr>
    </w:p>
    <w:sectPr w:rsidR="00B079AC" w:rsidRPr="00D617EF" w:rsidSect="008E544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F0"/>
    <w:rsid w:val="000817B0"/>
    <w:rsid w:val="001E618F"/>
    <w:rsid w:val="00283CF2"/>
    <w:rsid w:val="003A769A"/>
    <w:rsid w:val="003C204F"/>
    <w:rsid w:val="00421954"/>
    <w:rsid w:val="004D3270"/>
    <w:rsid w:val="00542EE4"/>
    <w:rsid w:val="006655C5"/>
    <w:rsid w:val="007006F0"/>
    <w:rsid w:val="007329D2"/>
    <w:rsid w:val="00735DF2"/>
    <w:rsid w:val="00764435"/>
    <w:rsid w:val="0078467E"/>
    <w:rsid w:val="008C155F"/>
    <w:rsid w:val="008E544F"/>
    <w:rsid w:val="009B28D5"/>
    <w:rsid w:val="009F32C9"/>
    <w:rsid w:val="00AA6A4F"/>
    <w:rsid w:val="00B05687"/>
    <w:rsid w:val="00B079AC"/>
    <w:rsid w:val="00B2662D"/>
    <w:rsid w:val="00BD7019"/>
    <w:rsid w:val="00C6109C"/>
    <w:rsid w:val="00D617EF"/>
    <w:rsid w:val="00E44D81"/>
    <w:rsid w:val="00E76943"/>
    <w:rsid w:val="00E82A20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1FF1BD-1582-4751-8826-96F0BEA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05687"/>
  </w:style>
  <w:style w:type="character" w:styleId="Hyperlink">
    <w:name w:val="Hyperlink"/>
    <w:basedOn w:val="DefaultParagraphFont"/>
    <w:uiPriority w:val="99"/>
    <w:unhideWhenUsed/>
    <w:rsid w:val="00B05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Kompetentnost%20nastavnika%20DAS%20G/20_DAS%20(G)%20Kompetentnost%20nastavnika%20Predrag%20Popovi&#263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Nikola</cp:lastModifiedBy>
  <cp:revision>13</cp:revision>
  <dcterms:created xsi:type="dcterms:W3CDTF">2020-06-11T14:58:00Z</dcterms:created>
  <dcterms:modified xsi:type="dcterms:W3CDTF">2026-03-21T14:29:00Z</dcterms:modified>
</cp:coreProperties>
</file>