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82E" w:rsidRPr="0013482E" w:rsidRDefault="0013482E">
      <w:pPr>
        <w:rPr>
          <w:sz w:val="24"/>
          <w:szCs w:val="24"/>
          <w:lang w:val="sr-Cyrl-CS"/>
        </w:rPr>
      </w:pPr>
      <w:bookmarkStart w:id="0" w:name="_GoBack"/>
      <w:bookmarkEnd w:id="0"/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705"/>
        <w:gridCol w:w="176"/>
        <w:gridCol w:w="1244"/>
        <w:gridCol w:w="189"/>
        <w:gridCol w:w="695"/>
        <w:gridCol w:w="306"/>
        <w:gridCol w:w="2308"/>
        <w:gridCol w:w="138"/>
        <w:gridCol w:w="1712"/>
        <w:gridCol w:w="1266"/>
      </w:tblGrid>
      <w:tr w:rsidR="00367E7B" w:rsidRPr="00ED5376" w:rsidTr="00CF31E3">
        <w:tc>
          <w:tcPr>
            <w:tcW w:w="4782" w:type="dxa"/>
            <w:gridSpan w:val="7"/>
            <w:shd w:val="clear" w:color="auto" w:fill="auto"/>
            <w:vAlign w:val="center"/>
          </w:tcPr>
          <w:p w:rsidR="00367E7B" w:rsidRPr="00ED5376" w:rsidRDefault="00367E7B" w:rsidP="00701DB2">
            <w:pPr>
              <w:rPr>
                <w:b/>
                <w:lang w:val="sr-Cyrl-CS"/>
              </w:rPr>
            </w:pPr>
            <w:r w:rsidRPr="00ED5376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424" w:type="dxa"/>
            <w:gridSpan w:val="4"/>
            <w:shd w:val="clear" w:color="auto" w:fill="auto"/>
            <w:vAlign w:val="center"/>
          </w:tcPr>
          <w:p w:rsidR="00367E7B" w:rsidRPr="00ED5376" w:rsidRDefault="005C6D6D" w:rsidP="00B9660D">
            <w:pPr>
              <w:spacing w:before="60" w:after="60"/>
              <w:rPr>
                <w:b/>
                <w:lang w:val="sr-Cyrl-CS"/>
              </w:rPr>
            </w:pPr>
            <w:r w:rsidRPr="00ED5376">
              <w:rPr>
                <w:b/>
                <w:lang w:val="sr-Cyrl-CS"/>
              </w:rPr>
              <w:t>Зоран Ј. Грдић</w:t>
            </w:r>
          </w:p>
        </w:tc>
      </w:tr>
      <w:tr w:rsidR="00367E7B" w:rsidRPr="00ED5376" w:rsidTr="00CF31E3">
        <w:tc>
          <w:tcPr>
            <w:tcW w:w="4782" w:type="dxa"/>
            <w:gridSpan w:val="7"/>
            <w:shd w:val="clear" w:color="auto" w:fill="auto"/>
            <w:vAlign w:val="center"/>
          </w:tcPr>
          <w:p w:rsidR="00367E7B" w:rsidRPr="00ED5376" w:rsidRDefault="00367E7B" w:rsidP="00701DB2">
            <w:pPr>
              <w:rPr>
                <w:b/>
                <w:lang w:val="sr-Cyrl-CS"/>
              </w:rPr>
            </w:pPr>
            <w:r w:rsidRPr="00ED5376">
              <w:rPr>
                <w:b/>
                <w:lang w:val="sr-Cyrl-CS"/>
              </w:rPr>
              <w:t>Звање</w:t>
            </w:r>
          </w:p>
        </w:tc>
        <w:tc>
          <w:tcPr>
            <w:tcW w:w="5424" w:type="dxa"/>
            <w:gridSpan w:val="4"/>
            <w:shd w:val="clear" w:color="auto" w:fill="auto"/>
            <w:vAlign w:val="center"/>
          </w:tcPr>
          <w:p w:rsidR="003B2D26" w:rsidRPr="00ED5376" w:rsidRDefault="00ED5376" w:rsidP="00701DB2">
            <w:r>
              <w:rPr>
                <w:lang w:val="sr-Cyrl-CS"/>
              </w:rPr>
              <w:t>Р</w:t>
            </w:r>
            <w:r w:rsidR="00825474" w:rsidRPr="00ED5376">
              <w:rPr>
                <w:lang w:val="sr-Cyrl-CS"/>
              </w:rPr>
              <w:t>едовни</w:t>
            </w:r>
            <w:r w:rsidR="005C6D6D" w:rsidRPr="00ED5376">
              <w:rPr>
                <w:lang w:val="sr-Cyrl-CS"/>
              </w:rPr>
              <w:t xml:space="preserve"> професор</w:t>
            </w:r>
          </w:p>
        </w:tc>
      </w:tr>
      <w:tr w:rsidR="00367E7B" w:rsidRPr="00ED5376" w:rsidTr="00CF31E3">
        <w:tc>
          <w:tcPr>
            <w:tcW w:w="4782" w:type="dxa"/>
            <w:gridSpan w:val="7"/>
            <w:shd w:val="clear" w:color="auto" w:fill="auto"/>
            <w:vAlign w:val="center"/>
          </w:tcPr>
          <w:p w:rsidR="00367E7B" w:rsidRPr="00ED5376" w:rsidRDefault="00367E7B" w:rsidP="00701DB2">
            <w:pPr>
              <w:rPr>
                <w:b/>
                <w:lang w:val="sr-Cyrl-CS"/>
              </w:rPr>
            </w:pPr>
            <w:r w:rsidRPr="00ED5376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424" w:type="dxa"/>
            <w:gridSpan w:val="4"/>
            <w:shd w:val="clear" w:color="auto" w:fill="auto"/>
            <w:vAlign w:val="center"/>
          </w:tcPr>
          <w:p w:rsidR="003B2D26" w:rsidRPr="00ED5376" w:rsidRDefault="00ED5376" w:rsidP="00701DB2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3B2D26" w:rsidRPr="00ED5376">
              <w:rPr>
                <w:lang w:val="sr-Cyrl-CS"/>
              </w:rPr>
              <w:t>Грађевинско-архитектонски факултет</w:t>
            </w:r>
            <w:r>
              <w:rPr>
                <w:lang w:val="sr-Cyrl-CS"/>
              </w:rPr>
              <w:t>,</w:t>
            </w:r>
            <w:r w:rsidR="003B2D26" w:rsidRPr="00ED5376">
              <w:rPr>
                <w:lang w:val="sr-Cyrl-CS"/>
              </w:rPr>
              <w:t xml:space="preserve"> </w:t>
            </w:r>
          </w:p>
          <w:p w:rsidR="00367E7B" w:rsidRPr="00ED5376" w:rsidRDefault="003B2D26" w:rsidP="00701DB2">
            <w:pPr>
              <w:rPr>
                <w:color w:val="FF0000"/>
                <w:lang w:val="sr-Cyrl-CS"/>
              </w:rPr>
            </w:pPr>
            <w:r w:rsidRPr="00ED5376">
              <w:rPr>
                <w:lang w:val="sr-Cyrl-CS"/>
              </w:rPr>
              <w:t>од 01.02.1986. год</w:t>
            </w:r>
            <w:r w:rsidR="00AB3319">
              <w:rPr>
                <w:lang w:val="sr-Cyrl-CS"/>
              </w:rPr>
              <w:t>ине</w:t>
            </w:r>
          </w:p>
        </w:tc>
      </w:tr>
      <w:tr w:rsidR="00367E7B" w:rsidRPr="00ED5376" w:rsidTr="00CF31E3">
        <w:tc>
          <w:tcPr>
            <w:tcW w:w="4782" w:type="dxa"/>
            <w:gridSpan w:val="7"/>
            <w:shd w:val="clear" w:color="auto" w:fill="auto"/>
            <w:vAlign w:val="center"/>
          </w:tcPr>
          <w:p w:rsidR="00367E7B" w:rsidRPr="00ED5376" w:rsidRDefault="00367E7B" w:rsidP="00701DB2">
            <w:pPr>
              <w:rPr>
                <w:b/>
                <w:lang w:val="sr-Cyrl-CS"/>
              </w:rPr>
            </w:pPr>
            <w:r w:rsidRPr="00ED5376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424" w:type="dxa"/>
            <w:gridSpan w:val="4"/>
            <w:shd w:val="clear" w:color="auto" w:fill="auto"/>
            <w:vAlign w:val="center"/>
          </w:tcPr>
          <w:p w:rsidR="00367E7B" w:rsidRPr="00ED5376" w:rsidRDefault="003B2D26" w:rsidP="00701DB2">
            <w:pPr>
              <w:rPr>
                <w:lang w:val="sr-Cyrl-CS"/>
              </w:rPr>
            </w:pPr>
            <w:r w:rsidRPr="00ED5376">
              <w:rPr>
                <w:lang w:val="sr-Cyrl-CS"/>
              </w:rPr>
              <w:t>Грађевински материјали</w:t>
            </w:r>
            <w:r w:rsidR="00DC2AAC" w:rsidRPr="00ED5376">
              <w:rPr>
                <w:lang w:val="sr-Cyrl-CS"/>
              </w:rPr>
              <w:t xml:space="preserve"> </w:t>
            </w:r>
          </w:p>
        </w:tc>
      </w:tr>
      <w:tr w:rsidR="00367E7B" w:rsidRPr="00ED5376" w:rsidTr="00CF31E3">
        <w:tc>
          <w:tcPr>
            <w:tcW w:w="10206" w:type="dxa"/>
            <w:gridSpan w:val="11"/>
            <w:shd w:val="clear" w:color="auto" w:fill="auto"/>
            <w:vAlign w:val="center"/>
          </w:tcPr>
          <w:p w:rsidR="00367E7B" w:rsidRPr="00ED5376" w:rsidRDefault="00367E7B" w:rsidP="00701DB2">
            <w:pPr>
              <w:rPr>
                <w:b/>
                <w:lang w:val="sr-Cyrl-CS"/>
              </w:rPr>
            </w:pPr>
            <w:r w:rsidRPr="00ED5376">
              <w:rPr>
                <w:b/>
              </w:rPr>
              <w:t>Академска каријера</w:t>
            </w:r>
          </w:p>
        </w:tc>
      </w:tr>
      <w:tr w:rsidR="00367E7B" w:rsidRPr="00ED5376" w:rsidTr="00CF31E3">
        <w:tc>
          <w:tcPr>
            <w:tcW w:w="2348" w:type="dxa"/>
            <w:gridSpan w:val="3"/>
            <w:shd w:val="clear" w:color="auto" w:fill="auto"/>
            <w:vAlign w:val="center"/>
          </w:tcPr>
          <w:p w:rsidR="00367E7B" w:rsidRPr="00ED5376" w:rsidRDefault="00367E7B" w:rsidP="00701DB2">
            <w:pPr>
              <w:rPr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67E7B" w:rsidRPr="00ED5376" w:rsidRDefault="00367E7B" w:rsidP="00701DB2">
            <w:pPr>
              <w:rPr>
                <w:lang w:val="sr-Cyrl-CS"/>
              </w:rPr>
            </w:pPr>
            <w:r w:rsidRPr="00ED5376">
              <w:rPr>
                <w:lang w:val="sr-Cyrl-CS"/>
              </w:rPr>
              <w:t xml:space="preserve">Година </w:t>
            </w:r>
          </w:p>
        </w:tc>
        <w:tc>
          <w:tcPr>
            <w:tcW w:w="3636" w:type="dxa"/>
            <w:gridSpan w:val="5"/>
            <w:shd w:val="clear" w:color="auto" w:fill="auto"/>
            <w:vAlign w:val="center"/>
          </w:tcPr>
          <w:p w:rsidR="00367E7B" w:rsidRPr="00ED5376" w:rsidRDefault="00367E7B" w:rsidP="00701DB2">
            <w:pPr>
              <w:rPr>
                <w:lang w:val="sr-Cyrl-CS"/>
              </w:rPr>
            </w:pPr>
            <w:r w:rsidRPr="00ED5376">
              <w:rPr>
                <w:lang w:val="sr-Cyrl-CS"/>
              </w:rPr>
              <w:t xml:space="preserve">Институција 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367E7B" w:rsidRPr="00ED5376" w:rsidRDefault="00367E7B" w:rsidP="00701DB2">
            <w:pPr>
              <w:rPr>
                <w:lang w:val="sr-Cyrl-CS"/>
              </w:rPr>
            </w:pPr>
            <w:r w:rsidRPr="00ED5376">
              <w:rPr>
                <w:lang w:val="sr-Cyrl-CS"/>
              </w:rPr>
              <w:t xml:space="preserve">Област </w:t>
            </w:r>
          </w:p>
        </w:tc>
      </w:tr>
      <w:tr w:rsidR="003B2D26" w:rsidRPr="00ED5376" w:rsidTr="00CF31E3">
        <w:tc>
          <w:tcPr>
            <w:tcW w:w="2348" w:type="dxa"/>
            <w:gridSpan w:val="3"/>
            <w:shd w:val="clear" w:color="auto" w:fill="auto"/>
            <w:vAlign w:val="center"/>
          </w:tcPr>
          <w:p w:rsidR="003B2D26" w:rsidRPr="00ED5376" w:rsidRDefault="003B2D26" w:rsidP="00701DB2">
            <w:pPr>
              <w:rPr>
                <w:lang w:val="sr-Cyrl-CS"/>
              </w:rPr>
            </w:pPr>
            <w:r w:rsidRPr="00ED5376">
              <w:rPr>
                <w:lang w:val="sr-Cyrl-CS"/>
              </w:rPr>
              <w:t>Избор у звање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B2D26" w:rsidRPr="00ED5376" w:rsidRDefault="003B2D26" w:rsidP="00825474">
            <w:pPr>
              <w:rPr>
                <w:lang w:val="sr-Cyrl-CS"/>
              </w:rPr>
            </w:pPr>
            <w:r w:rsidRPr="00ED5376">
              <w:rPr>
                <w:lang w:val="sr-Cyrl-CS"/>
              </w:rPr>
              <w:t>20</w:t>
            </w:r>
            <w:r w:rsidR="00825474" w:rsidRPr="00ED5376">
              <w:rPr>
                <w:lang w:val="sr-Cyrl-CS"/>
              </w:rPr>
              <w:t>12</w:t>
            </w:r>
            <w:r w:rsidRPr="00ED5376">
              <w:rPr>
                <w:lang w:val="sr-Cyrl-CS"/>
              </w:rPr>
              <w:t>.</w:t>
            </w:r>
          </w:p>
        </w:tc>
        <w:tc>
          <w:tcPr>
            <w:tcW w:w="3636" w:type="dxa"/>
            <w:gridSpan w:val="5"/>
            <w:shd w:val="clear" w:color="auto" w:fill="auto"/>
            <w:vAlign w:val="center"/>
          </w:tcPr>
          <w:p w:rsidR="003B2D26" w:rsidRPr="00ED5376" w:rsidRDefault="00ED5376" w:rsidP="00701DB2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3B2D26" w:rsidRPr="00ED5376">
              <w:rPr>
                <w:lang w:val="sr-Cyrl-CS"/>
              </w:rPr>
              <w:t>Грађевинс</w:t>
            </w:r>
            <w:r>
              <w:rPr>
                <w:lang w:val="sr-Cyrl-CS"/>
              </w:rPr>
              <w:t>ко-архитектонски факултет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3B2D26" w:rsidRPr="00ED5376" w:rsidRDefault="003B2D26" w:rsidP="00701DB2">
            <w:pPr>
              <w:rPr>
                <w:lang w:val="sr-Cyrl-CS"/>
              </w:rPr>
            </w:pPr>
            <w:r w:rsidRPr="00ED5376">
              <w:rPr>
                <w:lang w:val="sr-Cyrl-CS"/>
              </w:rPr>
              <w:t>Грађевинско инжењерство</w:t>
            </w:r>
          </w:p>
        </w:tc>
      </w:tr>
      <w:tr w:rsidR="003B2D26" w:rsidRPr="00ED5376" w:rsidTr="00CF31E3">
        <w:tc>
          <w:tcPr>
            <w:tcW w:w="2348" w:type="dxa"/>
            <w:gridSpan w:val="3"/>
            <w:shd w:val="clear" w:color="auto" w:fill="auto"/>
            <w:vAlign w:val="center"/>
          </w:tcPr>
          <w:p w:rsidR="003B2D26" w:rsidRPr="00ED5376" w:rsidRDefault="003B2D26" w:rsidP="00701DB2">
            <w:pPr>
              <w:rPr>
                <w:lang w:val="sr-Cyrl-CS"/>
              </w:rPr>
            </w:pPr>
            <w:r w:rsidRPr="00ED5376">
              <w:rPr>
                <w:lang w:val="sr-Cyrl-CS"/>
              </w:rPr>
              <w:t>Докторат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B2D26" w:rsidRPr="00ED5376" w:rsidRDefault="003B2D26" w:rsidP="00701DB2">
            <w:pPr>
              <w:rPr>
                <w:lang w:val="sr-Cyrl-CS"/>
              </w:rPr>
            </w:pPr>
            <w:r w:rsidRPr="00ED5376">
              <w:rPr>
                <w:lang w:val="sr-Cyrl-CS"/>
              </w:rPr>
              <w:t>2001.</w:t>
            </w:r>
          </w:p>
        </w:tc>
        <w:tc>
          <w:tcPr>
            <w:tcW w:w="3636" w:type="dxa"/>
            <w:gridSpan w:val="5"/>
            <w:shd w:val="clear" w:color="auto" w:fill="auto"/>
            <w:vAlign w:val="center"/>
          </w:tcPr>
          <w:p w:rsidR="003B2D26" w:rsidRPr="00ED5376" w:rsidRDefault="00ED5376" w:rsidP="00701DB2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3B2D26" w:rsidRPr="00ED5376">
              <w:rPr>
                <w:lang w:val="sr-Cyrl-CS"/>
              </w:rPr>
              <w:t>Грађевинс</w:t>
            </w:r>
            <w:r>
              <w:rPr>
                <w:lang w:val="sr-Cyrl-CS"/>
              </w:rPr>
              <w:t>ко-архитектонски факултет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3B2D26" w:rsidRPr="00ED5376" w:rsidRDefault="003B2D26" w:rsidP="00701DB2">
            <w:pPr>
              <w:rPr>
                <w:lang w:val="sr-Cyrl-CS"/>
              </w:rPr>
            </w:pPr>
            <w:r w:rsidRPr="00ED5376">
              <w:rPr>
                <w:lang w:val="sr-Cyrl-CS"/>
              </w:rPr>
              <w:t>Грађевинско инжењерство</w:t>
            </w:r>
          </w:p>
        </w:tc>
      </w:tr>
      <w:tr w:rsidR="003B2D26" w:rsidRPr="00ED5376" w:rsidTr="00CF31E3">
        <w:tc>
          <w:tcPr>
            <w:tcW w:w="2348" w:type="dxa"/>
            <w:gridSpan w:val="3"/>
            <w:shd w:val="clear" w:color="auto" w:fill="auto"/>
            <w:vAlign w:val="center"/>
          </w:tcPr>
          <w:p w:rsidR="003B2D26" w:rsidRPr="00ED5376" w:rsidRDefault="003B2D26" w:rsidP="00701DB2">
            <w:pPr>
              <w:rPr>
                <w:lang w:val="sr-Cyrl-CS"/>
              </w:rPr>
            </w:pPr>
            <w:r w:rsidRPr="00ED5376">
              <w:rPr>
                <w:lang w:val="sr-Cyrl-CS"/>
              </w:rPr>
              <w:t>Специјализација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B2D26" w:rsidRPr="00ED5376" w:rsidRDefault="003B2D26" w:rsidP="00701DB2">
            <w:pPr>
              <w:rPr>
                <w:lang w:val="sr-Cyrl-CS"/>
              </w:rPr>
            </w:pPr>
          </w:p>
        </w:tc>
        <w:tc>
          <w:tcPr>
            <w:tcW w:w="3636" w:type="dxa"/>
            <w:gridSpan w:val="5"/>
            <w:shd w:val="clear" w:color="auto" w:fill="auto"/>
            <w:vAlign w:val="center"/>
          </w:tcPr>
          <w:p w:rsidR="003B2D26" w:rsidRPr="00ED5376" w:rsidRDefault="003B2D26" w:rsidP="00701DB2">
            <w:pPr>
              <w:rPr>
                <w:lang w:val="sr-Cyrl-C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3B2D26" w:rsidRPr="00ED5376" w:rsidRDefault="003B2D26" w:rsidP="00701DB2">
            <w:pPr>
              <w:rPr>
                <w:lang w:val="sr-Cyrl-CS"/>
              </w:rPr>
            </w:pPr>
          </w:p>
        </w:tc>
      </w:tr>
      <w:tr w:rsidR="003B2D26" w:rsidRPr="00ED5376" w:rsidTr="00CF31E3">
        <w:tc>
          <w:tcPr>
            <w:tcW w:w="2348" w:type="dxa"/>
            <w:gridSpan w:val="3"/>
            <w:shd w:val="clear" w:color="auto" w:fill="auto"/>
            <w:vAlign w:val="center"/>
          </w:tcPr>
          <w:p w:rsidR="003B2D26" w:rsidRPr="00ED5376" w:rsidRDefault="003B2D26" w:rsidP="00701DB2">
            <w:pPr>
              <w:rPr>
                <w:lang w:val="sr-Cyrl-CS"/>
              </w:rPr>
            </w:pPr>
            <w:r w:rsidRPr="00ED5376">
              <w:rPr>
                <w:lang w:val="sr-Cyrl-CS"/>
              </w:rPr>
              <w:t>Магистратура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B2D26" w:rsidRPr="00ED5376" w:rsidRDefault="003B2D26" w:rsidP="00701DB2">
            <w:pPr>
              <w:rPr>
                <w:lang w:val="sr-Cyrl-CS"/>
              </w:rPr>
            </w:pPr>
            <w:r w:rsidRPr="00ED5376">
              <w:rPr>
                <w:lang w:val="sr-Cyrl-CS"/>
              </w:rPr>
              <w:t>1994.</w:t>
            </w:r>
          </w:p>
        </w:tc>
        <w:tc>
          <w:tcPr>
            <w:tcW w:w="3636" w:type="dxa"/>
            <w:gridSpan w:val="5"/>
            <w:shd w:val="clear" w:color="auto" w:fill="auto"/>
            <w:vAlign w:val="center"/>
          </w:tcPr>
          <w:p w:rsidR="003B2D26" w:rsidRPr="00ED5376" w:rsidRDefault="00ED5376" w:rsidP="00701DB2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>
              <w:rPr>
                <w:lang w:val="sr-Cyrl-CS"/>
              </w:rPr>
              <w:t>Грађевински факултет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3B2D26" w:rsidRPr="00ED5376" w:rsidRDefault="003B2D26" w:rsidP="00701DB2">
            <w:pPr>
              <w:rPr>
                <w:lang w:val="sr-Cyrl-CS"/>
              </w:rPr>
            </w:pPr>
            <w:r w:rsidRPr="00ED5376">
              <w:rPr>
                <w:lang w:val="sr-Cyrl-CS"/>
              </w:rPr>
              <w:t>Грађевинско инжењерство</w:t>
            </w:r>
          </w:p>
        </w:tc>
      </w:tr>
      <w:tr w:rsidR="003B2D26" w:rsidRPr="00ED5376" w:rsidTr="00CF31E3">
        <w:tc>
          <w:tcPr>
            <w:tcW w:w="2348" w:type="dxa"/>
            <w:gridSpan w:val="3"/>
            <w:shd w:val="clear" w:color="auto" w:fill="auto"/>
            <w:vAlign w:val="center"/>
          </w:tcPr>
          <w:p w:rsidR="003B2D26" w:rsidRPr="00ED5376" w:rsidRDefault="003B2D26" w:rsidP="00701DB2">
            <w:pPr>
              <w:rPr>
                <w:lang w:val="sr-Cyrl-CS"/>
              </w:rPr>
            </w:pPr>
            <w:r w:rsidRPr="00ED5376">
              <w:rPr>
                <w:lang w:val="sr-Cyrl-CS"/>
              </w:rPr>
              <w:t>Диплома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B2D26" w:rsidRPr="00ED5376" w:rsidRDefault="003B2D26" w:rsidP="00701DB2">
            <w:pPr>
              <w:rPr>
                <w:lang w:val="sr-Cyrl-CS"/>
              </w:rPr>
            </w:pPr>
            <w:r w:rsidRPr="00ED5376">
              <w:rPr>
                <w:lang w:val="sr-Cyrl-CS"/>
              </w:rPr>
              <w:t>1983.</w:t>
            </w:r>
          </w:p>
        </w:tc>
        <w:tc>
          <w:tcPr>
            <w:tcW w:w="3636" w:type="dxa"/>
            <w:gridSpan w:val="5"/>
            <w:shd w:val="clear" w:color="auto" w:fill="auto"/>
            <w:vAlign w:val="center"/>
          </w:tcPr>
          <w:p w:rsidR="003B2D26" w:rsidRPr="00ED5376" w:rsidRDefault="00ED5376" w:rsidP="00701DB2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>
              <w:rPr>
                <w:lang w:val="sr-Cyrl-CS"/>
              </w:rPr>
              <w:t>Грађевински факултет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3B2D26" w:rsidRPr="00ED5376" w:rsidRDefault="003B2D26" w:rsidP="00701DB2">
            <w:pPr>
              <w:rPr>
                <w:lang w:val="sr-Cyrl-CS"/>
              </w:rPr>
            </w:pPr>
            <w:r w:rsidRPr="00ED5376">
              <w:rPr>
                <w:lang w:val="sr-Cyrl-CS"/>
              </w:rPr>
              <w:t>Грађевинско инжењерство</w:t>
            </w:r>
          </w:p>
        </w:tc>
      </w:tr>
      <w:tr w:rsidR="003B2D26" w:rsidRPr="00ED5376" w:rsidTr="00CF31E3">
        <w:tc>
          <w:tcPr>
            <w:tcW w:w="10206" w:type="dxa"/>
            <w:gridSpan w:val="11"/>
            <w:shd w:val="clear" w:color="auto" w:fill="auto"/>
          </w:tcPr>
          <w:p w:rsidR="003B2D26" w:rsidRPr="00ED5376" w:rsidRDefault="003B2D26" w:rsidP="00367E7B">
            <w:pPr>
              <w:rPr>
                <w:b/>
                <w:lang w:val="ru-RU"/>
              </w:rPr>
            </w:pPr>
            <w:r w:rsidRPr="00ED5376">
              <w:rPr>
                <w:b/>
                <w:lang w:val="sr-Cyrl-CS"/>
              </w:rPr>
              <w:t xml:space="preserve">Списак предмета које наставник држи </w:t>
            </w:r>
            <w:r w:rsidRPr="00ED5376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3B2D26" w:rsidRPr="00ED5376" w:rsidTr="00CF31E3">
        <w:tc>
          <w:tcPr>
            <w:tcW w:w="466" w:type="dxa"/>
            <w:shd w:val="clear" w:color="auto" w:fill="auto"/>
            <w:vAlign w:val="center"/>
          </w:tcPr>
          <w:p w:rsidR="003B2D26" w:rsidRPr="00ED5376" w:rsidRDefault="003B2D26" w:rsidP="00701DB2">
            <w:pPr>
              <w:rPr>
                <w:lang w:val="sr-Cyrl-CS"/>
              </w:rPr>
            </w:pPr>
          </w:p>
        </w:tc>
        <w:tc>
          <w:tcPr>
            <w:tcW w:w="4010" w:type="dxa"/>
            <w:gridSpan w:val="5"/>
            <w:shd w:val="clear" w:color="auto" w:fill="auto"/>
            <w:vAlign w:val="center"/>
          </w:tcPr>
          <w:p w:rsidR="003B2D26" w:rsidRPr="00ED5376" w:rsidRDefault="00ED5376" w:rsidP="00701DB2">
            <w:pPr>
              <w:rPr>
                <w:iCs/>
                <w:lang w:val="en-US"/>
              </w:rPr>
            </w:pPr>
            <w:r>
              <w:rPr>
                <w:iCs/>
                <w:lang w:val="sr-Cyrl-CS"/>
              </w:rPr>
              <w:t>Н</w:t>
            </w:r>
            <w:r w:rsidR="003B2D26" w:rsidRPr="00ED5376">
              <w:rPr>
                <w:iCs/>
                <w:lang w:val="sr-Cyrl-CS"/>
              </w:rPr>
              <w:t xml:space="preserve">азив предмета   </w:t>
            </w:r>
          </w:p>
          <w:p w:rsidR="003B2D26" w:rsidRPr="00ED5376" w:rsidRDefault="003B2D26" w:rsidP="00701DB2">
            <w:pPr>
              <w:rPr>
                <w:lang w:val="sr-Cyrl-CS"/>
              </w:rPr>
            </w:pPr>
            <w:r w:rsidRPr="00ED5376">
              <w:rPr>
                <w:iCs/>
                <w:lang w:val="sr-Cyrl-CS"/>
              </w:rPr>
              <w:t xml:space="preserve">  </w:t>
            </w:r>
          </w:p>
        </w:tc>
        <w:tc>
          <w:tcPr>
            <w:tcW w:w="4464" w:type="dxa"/>
            <w:gridSpan w:val="4"/>
            <w:shd w:val="clear" w:color="auto" w:fill="auto"/>
            <w:vAlign w:val="center"/>
          </w:tcPr>
          <w:p w:rsidR="003B2D26" w:rsidRPr="00ED5376" w:rsidRDefault="003B2D26" w:rsidP="00701DB2">
            <w:pPr>
              <w:rPr>
                <w:lang w:val="ru-RU"/>
              </w:rPr>
            </w:pPr>
            <w:r w:rsidRPr="00ED5376">
              <w:rPr>
                <w:iCs/>
                <w:lang w:val="sr-Cyrl-CS"/>
              </w:rPr>
              <w:t xml:space="preserve">Назив </w:t>
            </w:r>
            <w:r w:rsidRPr="00ED5376">
              <w:rPr>
                <w:iCs/>
                <w:lang w:val="ru-RU"/>
              </w:rPr>
              <w:t>студијског програма, врста студ</w:t>
            </w:r>
            <w:r w:rsidR="00B34FBE" w:rsidRPr="00ED5376">
              <w:rPr>
                <w:iCs/>
                <w:lang w:val="sr-Cyrl-CS"/>
              </w:rPr>
              <w:t>и</w:t>
            </w:r>
            <w:r w:rsidRPr="00ED5376">
              <w:rPr>
                <w:iCs/>
                <w:lang w:val="ru-RU"/>
              </w:rPr>
              <w:t xml:space="preserve">ја 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3B2D26" w:rsidRPr="00ED5376" w:rsidRDefault="003B2D26" w:rsidP="00B9660D">
            <w:pPr>
              <w:jc w:val="center"/>
              <w:rPr>
                <w:lang w:val="en-US"/>
              </w:rPr>
            </w:pPr>
            <w:r w:rsidRPr="00ED5376">
              <w:rPr>
                <w:lang w:val="en-US"/>
              </w:rPr>
              <w:t>Часова активне наставе</w:t>
            </w:r>
          </w:p>
        </w:tc>
      </w:tr>
      <w:tr w:rsidR="00AB3319" w:rsidRPr="00ED5376" w:rsidTr="00CF31E3">
        <w:tc>
          <w:tcPr>
            <w:tcW w:w="466" w:type="dxa"/>
            <w:shd w:val="clear" w:color="auto" w:fill="auto"/>
            <w:vAlign w:val="center"/>
          </w:tcPr>
          <w:p w:rsidR="00AB3319" w:rsidRPr="00ED5376" w:rsidRDefault="00AB3319" w:rsidP="00B9660D">
            <w:pPr>
              <w:jc w:val="center"/>
              <w:rPr>
                <w:lang w:val="sr-Cyrl-CS"/>
              </w:rPr>
            </w:pPr>
            <w:r w:rsidRPr="00ED5376">
              <w:rPr>
                <w:lang w:val="sr-Cyrl-CS"/>
              </w:rPr>
              <w:t>1.</w:t>
            </w:r>
          </w:p>
        </w:tc>
        <w:tc>
          <w:tcPr>
            <w:tcW w:w="4010" w:type="dxa"/>
            <w:gridSpan w:val="5"/>
            <w:shd w:val="clear" w:color="auto" w:fill="auto"/>
          </w:tcPr>
          <w:p w:rsidR="00AB3319" w:rsidRPr="008D7B69" w:rsidRDefault="00AB3319" w:rsidP="00AB3319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Грађевински материјали I</w:t>
            </w:r>
          </w:p>
        </w:tc>
        <w:tc>
          <w:tcPr>
            <w:tcW w:w="4464" w:type="dxa"/>
            <w:gridSpan w:val="4"/>
            <w:shd w:val="clear" w:color="auto" w:fill="auto"/>
            <w:vAlign w:val="center"/>
          </w:tcPr>
          <w:p w:rsidR="00AB3319" w:rsidRPr="00ED5376" w:rsidRDefault="00AB3319" w:rsidP="00701DB2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266" w:type="dxa"/>
            <w:shd w:val="clear" w:color="auto" w:fill="auto"/>
          </w:tcPr>
          <w:p w:rsidR="00AB3319" w:rsidRPr="008D7B69" w:rsidRDefault="00AB3319" w:rsidP="00AB3319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3</w:t>
            </w:r>
          </w:p>
        </w:tc>
      </w:tr>
      <w:tr w:rsidR="00AB3319" w:rsidRPr="00ED5376" w:rsidTr="00CF31E3">
        <w:tc>
          <w:tcPr>
            <w:tcW w:w="466" w:type="dxa"/>
            <w:shd w:val="clear" w:color="auto" w:fill="auto"/>
            <w:vAlign w:val="center"/>
          </w:tcPr>
          <w:p w:rsidR="00AB3319" w:rsidRPr="00ED5376" w:rsidRDefault="00AB3319" w:rsidP="00B9660D">
            <w:pPr>
              <w:jc w:val="center"/>
              <w:rPr>
                <w:lang w:val="sr-Cyrl-CS"/>
              </w:rPr>
            </w:pPr>
            <w:r w:rsidRPr="00ED5376">
              <w:rPr>
                <w:lang w:val="sr-Cyrl-CS"/>
              </w:rPr>
              <w:t>2.</w:t>
            </w:r>
          </w:p>
        </w:tc>
        <w:tc>
          <w:tcPr>
            <w:tcW w:w="4010" w:type="dxa"/>
            <w:gridSpan w:val="5"/>
            <w:shd w:val="clear" w:color="auto" w:fill="auto"/>
          </w:tcPr>
          <w:p w:rsidR="00AB3319" w:rsidRPr="008D7B69" w:rsidRDefault="00AB3319" w:rsidP="00AB3319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Технологија бетона</w:t>
            </w:r>
          </w:p>
        </w:tc>
        <w:tc>
          <w:tcPr>
            <w:tcW w:w="4464" w:type="dxa"/>
            <w:gridSpan w:val="4"/>
            <w:shd w:val="clear" w:color="auto" w:fill="auto"/>
            <w:vAlign w:val="center"/>
          </w:tcPr>
          <w:p w:rsidR="00AB3319" w:rsidRPr="00ED5376" w:rsidRDefault="00AB3319" w:rsidP="00701DB2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266" w:type="dxa"/>
            <w:shd w:val="clear" w:color="auto" w:fill="auto"/>
          </w:tcPr>
          <w:p w:rsidR="00AB3319" w:rsidRPr="008D7B69" w:rsidRDefault="00AB3319" w:rsidP="00AB3319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AB3319" w:rsidRPr="00ED5376" w:rsidTr="00CF31E3">
        <w:tc>
          <w:tcPr>
            <w:tcW w:w="466" w:type="dxa"/>
            <w:shd w:val="clear" w:color="auto" w:fill="auto"/>
            <w:vAlign w:val="center"/>
          </w:tcPr>
          <w:p w:rsidR="00AB3319" w:rsidRPr="00ED5376" w:rsidRDefault="00AB3319" w:rsidP="00B9660D">
            <w:pPr>
              <w:jc w:val="center"/>
              <w:rPr>
                <w:lang w:val="sr-Cyrl-CS"/>
              </w:rPr>
            </w:pPr>
            <w:r w:rsidRPr="00ED5376">
              <w:rPr>
                <w:lang w:val="sr-Cyrl-CS"/>
              </w:rPr>
              <w:t>3.</w:t>
            </w:r>
          </w:p>
        </w:tc>
        <w:tc>
          <w:tcPr>
            <w:tcW w:w="4010" w:type="dxa"/>
            <w:gridSpan w:val="5"/>
            <w:shd w:val="clear" w:color="auto" w:fill="auto"/>
          </w:tcPr>
          <w:p w:rsidR="00AB3319" w:rsidRPr="008D7B69" w:rsidRDefault="00AB3319" w:rsidP="00AB3319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Примена савремених грађевинских материјала</w:t>
            </w:r>
          </w:p>
        </w:tc>
        <w:tc>
          <w:tcPr>
            <w:tcW w:w="4464" w:type="dxa"/>
            <w:gridSpan w:val="4"/>
            <w:shd w:val="clear" w:color="auto" w:fill="auto"/>
            <w:vAlign w:val="center"/>
          </w:tcPr>
          <w:p w:rsidR="00AB3319" w:rsidRPr="00ED5376" w:rsidRDefault="00AB3319" w:rsidP="00701DB2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1266" w:type="dxa"/>
            <w:shd w:val="clear" w:color="auto" w:fill="auto"/>
          </w:tcPr>
          <w:p w:rsidR="00AB3319" w:rsidRPr="008D7B69" w:rsidRDefault="00AB3319" w:rsidP="00AB3319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AB3319" w:rsidRPr="00ED5376" w:rsidTr="00CF31E3">
        <w:tc>
          <w:tcPr>
            <w:tcW w:w="466" w:type="dxa"/>
            <w:shd w:val="clear" w:color="auto" w:fill="auto"/>
            <w:vAlign w:val="center"/>
          </w:tcPr>
          <w:p w:rsidR="00AB3319" w:rsidRPr="00ED5376" w:rsidRDefault="00AB3319" w:rsidP="00B9660D">
            <w:pPr>
              <w:jc w:val="center"/>
            </w:pPr>
            <w:r w:rsidRPr="00ED5376">
              <w:t>4.</w:t>
            </w:r>
          </w:p>
        </w:tc>
        <w:tc>
          <w:tcPr>
            <w:tcW w:w="4010" w:type="dxa"/>
            <w:gridSpan w:val="5"/>
            <w:shd w:val="clear" w:color="auto" w:fill="auto"/>
          </w:tcPr>
          <w:p w:rsidR="00AB3319" w:rsidRPr="008D7B69" w:rsidRDefault="00AB3319" w:rsidP="00AB3319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Еколошки материјали</w:t>
            </w:r>
          </w:p>
        </w:tc>
        <w:tc>
          <w:tcPr>
            <w:tcW w:w="4464" w:type="dxa"/>
            <w:gridSpan w:val="4"/>
            <w:shd w:val="clear" w:color="auto" w:fill="auto"/>
            <w:vAlign w:val="center"/>
          </w:tcPr>
          <w:p w:rsidR="00AB3319" w:rsidRPr="00ED5376" w:rsidRDefault="00AB3319" w:rsidP="00701DB2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1266" w:type="dxa"/>
            <w:shd w:val="clear" w:color="auto" w:fill="auto"/>
          </w:tcPr>
          <w:p w:rsidR="00AB3319" w:rsidRPr="008D7B69" w:rsidRDefault="00AB3319" w:rsidP="00AB3319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0,5</w:t>
            </w:r>
          </w:p>
        </w:tc>
      </w:tr>
      <w:tr w:rsidR="00AB3319" w:rsidRPr="00ED5376" w:rsidTr="00CF31E3">
        <w:tc>
          <w:tcPr>
            <w:tcW w:w="10206" w:type="dxa"/>
            <w:gridSpan w:val="11"/>
            <w:shd w:val="clear" w:color="auto" w:fill="auto"/>
          </w:tcPr>
          <w:p w:rsidR="00AB3319" w:rsidRPr="00ED5376" w:rsidRDefault="00AB3319" w:rsidP="00367E7B">
            <w:pPr>
              <w:rPr>
                <w:b/>
                <w:lang w:val="sr-Cyrl-CS"/>
              </w:rPr>
            </w:pPr>
            <w:r w:rsidRPr="00ED5376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AB3319" w:rsidRPr="00ED5376" w:rsidTr="00CF31E3">
        <w:tc>
          <w:tcPr>
            <w:tcW w:w="466" w:type="dxa"/>
            <w:shd w:val="clear" w:color="auto" w:fill="auto"/>
            <w:vAlign w:val="center"/>
          </w:tcPr>
          <w:p w:rsidR="00AB3319" w:rsidRPr="00ED5376" w:rsidRDefault="00AB3319" w:rsidP="00B9660D">
            <w:pPr>
              <w:jc w:val="center"/>
              <w:rPr>
                <w:lang w:val="sr-Cyrl-CS"/>
              </w:rPr>
            </w:pPr>
            <w:r w:rsidRPr="00ED5376">
              <w:rPr>
                <w:lang w:val="sr-Cyrl-CS"/>
              </w:rPr>
              <w:t>1.</w:t>
            </w:r>
          </w:p>
        </w:tc>
        <w:tc>
          <w:tcPr>
            <w:tcW w:w="9740" w:type="dxa"/>
            <w:gridSpan w:val="10"/>
            <w:shd w:val="clear" w:color="auto" w:fill="auto"/>
            <w:vAlign w:val="center"/>
          </w:tcPr>
          <w:p w:rsidR="00AB3319" w:rsidRPr="00ED5376" w:rsidRDefault="00AB3319" w:rsidP="00E2354D">
            <w:pPr>
              <w:jc w:val="both"/>
              <w:rPr>
                <w:lang w:val="sr-Latn-RS"/>
              </w:rPr>
            </w:pPr>
            <w:r w:rsidRPr="00ED5376">
              <w:rPr>
                <w:rFonts w:eastAsia="AdvGulliv-R"/>
              </w:rPr>
              <w:t>Zoran J. Grdic, Gordana A. Toplicic-Curcic, Iva M. Despotovic, Nenad S. Ristic</w:t>
            </w:r>
            <w:r w:rsidRPr="00ED5376">
              <w:rPr>
                <w:i/>
                <w:lang w:val="sr-Cyrl-RS"/>
              </w:rPr>
              <w:t>: “</w:t>
            </w:r>
            <w:r w:rsidRPr="00ED5376">
              <w:rPr>
                <w:rFonts w:eastAsia="AdvGulliv-R"/>
                <w:i/>
              </w:rPr>
              <w:t>Properties of self-compacting concrete prepared with coarse recycled concrete aggregate</w:t>
            </w:r>
            <w:r w:rsidRPr="00ED5376">
              <w:rPr>
                <w:i/>
                <w:lang w:val="sr-Cyrl-RS"/>
              </w:rPr>
              <w:t>”</w:t>
            </w:r>
            <w:r w:rsidRPr="00ED5376">
              <w:rPr>
                <w:lang w:val="sr-Cyrl-RS"/>
              </w:rPr>
              <w:t xml:space="preserve">, </w:t>
            </w:r>
            <w:r w:rsidRPr="00ED5376">
              <w:rPr>
                <w:rFonts w:eastAsia="AdvGulliv-R"/>
              </w:rPr>
              <w:t>Construction and Building Materials, Volume 24, Issue 7, July 2010., p.p. 1129–1133</w:t>
            </w:r>
            <w:r w:rsidRPr="00ED5376">
              <w:rPr>
                <w:lang w:val="sr-Latn-RS"/>
              </w:rPr>
              <w:t>.</w:t>
            </w:r>
          </w:p>
        </w:tc>
      </w:tr>
      <w:tr w:rsidR="00AB3319" w:rsidRPr="00ED5376" w:rsidTr="00CF31E3">
        <w:tc>
          <w:tcPr>
            <w:tcW w:w="466" w:type="dxa"/>
            <w:shd w:val="clear" w:color="auto" w:fill="auto"/>
            <w:vAlign w:val="center"/>
          </w:tcPr>
          <w:p w:rsidR="00AB3319" w:rsidRPr="00ED5376" w:rsidRDefault="00AB3319" w:rsidP="00B9660D">
            <w:pPr>
              <w:jc w:val="center"/>
              <w:rPr>
                <w:lang w:val="sr-Cyrl-CS"/>
              </w:rPr>
            </w:pPr>
            <w:r w:rsidRPr="00ED5376">
              <w:rPr>
                <w:lang w:val="sr-Cyrl-CS"/>
              </w:rPr>
              <w:t>2.</w:t>
            </w:r>
          </w:p>
        </w:tc>
        <w:tc>
          <w:tcPr>
            <w:tcW w:w="9740" w:type="dxa"/>
            <w:gridSpan w:val="10"/>
            <w:shd w:val="clear" w:color="auto" w:fill="auto"/>
            <w:vAlign w:val="center"/>
          </w:tcPr>
          <w:p w:rsidR="00AB3319" w:rsidRPr="00ED5376" w:rsidRDefault="00AB3319" w:rsidP="00E2354D">
            <w:pPr>
              <w:jc w:val="both"/>
              <w:rPr>
                <w:lang w:val="ru-RU"/>
              </w:rPr>
            </w:pPr>
            <w:r w:rsidRPr="00ED5376">
              <w:rPr>
                <w:lang w:val="ru-RU"/>
              </w:rPr>
              <w:t>Grdić</w:t>
            </w:r>
            <w:r w:rsidRPr="00ED5376">
              <w:rPr>
                <w:lang w:val="en-US"/>
              </w:rPr>
              <w:t xml:space="preserve"> Z.</w:t>
            </w:r>
            <w:r w:rsidRPr="00ED5376">
              <w:rPr>
                <w:lang w:val="ru-RU"/>
              </w:rPr>
              <w:t>, Topličić-Ćurčić</w:t>
            </w:r>
            <w:r w:rsidRPr="00ED5376">
              <w:rPr>
                <w:lang w:val="en-US"/>
              </w:rPr>
              <w:t xml:space="preserve"> G.</w:t>
            </w:r>
            <w:r w:rsidRPr="00ED5376">
              <w:rPr>
                <w:lang w:val="ru-RU"/>
              </w:rPr>
              <w:t>, Ristić</w:t>
            </w:r>
            <w:r w:rsidRPr="00ED5376">
              <w:rPr>
                <w:lang w:val="en-US"/>
              </w:rPr>
              <w:t xml:space="preserve"> N.</w:t>
            </w:r>
            <w:r w:rsidRPr="00ED5376">
              <w:rPr>
                <w:lang w:val="ru-RU"/>
              </w:rPr>
              <w:t>, Despotović</w:t>
            </w:r>
            <w:r w:rsidRPr="00ED5376">
              <w:rPr>
                <w:lang w:val="en-US"/>
              </w:rPr>
              <w:t xml:space="preserve"> I.</w:t>
            </w:r>
            <w:r w:rsidRPr="00ED5376">
              <w:rPr>
                <w:lang w:val="ru-RU"/>
              </w:rPr>
              <w:t>: “Concrete Consistency and Compressive Strenght Dependency on the Quantity of Cement Paste Among the Aggregate Grains”, Romanian Journal of Materials, No. 2/2011, ISSN 1583-3186, p.p. 91 – 98.</w:t>
            </w:r>
          </w:p>
        </w:tc>
      </w:tr>
      <w:tr w:rsidR="00AB3319" w:rsidRPr="00ED5376" w:rsidTr="00CF31E3">
        <w:tc>
          <w:tcPr>
            <w:tcW w:w="466" w:type="dxa"/>
            <w:shd w:val="clear" w:color="auto" w:fill="auto"/>
            <w:vAlign w:val="center"/>
          </w:tcPr>
          <w:p w:rsidR="00AB3319" w:rsidRPr="00ED5376" w:rsidRDefault="00AB3319" w:rsidP="00B9660D">
            <w:pPr>
              <w:jc w:val="center"/>
              <w:rPr>
                <w:lang w:val="sr-Cyrl-CS"/>
              </w:rPr>
            </w:pPr>
            <w:r w:rsidRPr="00ED5376">
              <w:rPr>
                <w:lang w:val="sr-Cyrl-CS"/>
              </w:rPr>
              <w:t>3.</w:t>
            </w:r>
          </w:p>
        </w:tc>
        <w:tc>
          <w:tcPr>
            <w:tcW w:w="9740" w:type="dxa"/>
            <w:gridSpan w:val="10"/>
            <w:shd w:val="clear" w:color="auto" w:fill="auto"/>
            <w:vAlign w:val="center"/>
          </w:tcPr>
          <w:p w:rsidR="00AB3319" w:rsidRPr="00ED5376" w:rsidRDefault="00AB3319" w:rsidP="00E2354D">
            <w:pPr>
              <w:jc w:val="both"/>
              <w:rPr>
                <w:lang w:val="en-US"/>
              </w:rPr>
            </w:pPr>
            <w:r w:rsidRPr="00ED5376">
              <w:rPr>
                <w:lang w:val="en-US"/>
              </w:rPr>
              <w:t>Zoran J. Grdic, Gordana A. Toplicic-Curcic, Nenad S. Ristic, Iva M. Despotovic: „Abrasion resistance of concrete micro-reinforced with polypropylene fibers”, Construction and Building Materials, Volume 27, Issue 1, February 2012, p.p. 305-312.</w:t>
            </w:r>
          </w:p>
        </w:tc>
      </w:tr>
      <w:tr w:rsidR="00AB3319" w:rsidRPr="00ED5376" w:rsidTr="00CF31E3">
        <w:tc>
          <w:tcPr>
            <w:tcW w:w="466" w:type="dxa"/>
            <w:shd w:val="clear" w:color="auto" w:fill="auto"/>
            <w:vAlign w:val="center"/>
          </w:tcPr>
          <w:p w:rsidR="00AB3319" w:rsidRPr="00ED5376" w:rsidRDefault="00AB3319" w:rsidP="00B9660D">
            <w:pPr>
              <w:jc w:val="center"/>
            </w:pPr>
            <w:r w:rsidRPr="00ED5376">
              <w:t>4.</w:t>
            </w:r>
          </w:p>
        </w:tc>
        <w:tc>
          <w:tcPr>
            <w:tcW w:w="9740" w:type="dxa"/>
            <w:gridSpan w:val="10"/>
            <w:shd w:val="clear" w:color="auto" w:fill="auto"/>
            <w:vAlign w:val="center"/>
          </w:tcPr>
          <w:p w:rsidR="00AB3319" w:rsidRPr="00ED5376" w:rsidRDefault="00AB3319" w:rsidP="00E2354D">
            <w:pPr>
              <w:jc w:val="both"/>
            </w:pPr>
            <w:r w:rsidRPr="00ED5376">
              <w:t>Зоран Ј. Грдић, Гордана А. Топличић-Ћурчић, Ненад С. Ристић, Ива М. Деспотовић: Техничко решење „Самоуграђујући бетон справљен са рециклираним агрегатом добијеним дробљењем старог бетона“, Битно побољшани постојећи производ или технологија</w:t>
            </w:r>
          </w:p>
        </w:tc>
      </w:tr>
      <w:tr w:rsidR="00AB3319" w:rsidRPr="00ED5376" w:rsidTr="00CF31E3">
        <w:tc>
          <w:tcPr>
            <w:tcW w:w="466" w:type="dxa"/>
            <w:shd w:val="clear" w:color="auto" w:fill="auto"/>
            <w:vAlign w:val="center"/>
          </w:tcPr>
          <w:p w:rsidR="00AB3319" w:rsidRPr="00ED5376" w:rsidRDefault="00AB3319" w:rsidP="00B9660D">
            <w:pPr>
              <w:jc w:val="center"/>
            </w:pPr>
            <w:r w:rsidRPr="00ED5376">
              <w:rPr>
                <w:lang w:val="sr-Cyrl-CS"/>
              </w:rPr>
              <w:t>5</w:t>
            </w:r>
            <w:r w:rsidRPr="00ED5376">
              <w:t>.</w:t>
            </w:r>
          </w:p>
        </w:tc>
        <w:tc>
          <w:tcPr>
            <w:tcW w:w="9740" w:type="dxa"/>
            <w:gridSpan w:val="10"/>
            <w:shd w:val="clear" w:color="auto" w:fill="auto"/>
            <w:vAlign w:val="center"/>
          </w:tcPr>
          <w:p w:rsidR="00AB3319" w:rsidRPr="00ED5376" w:rsidRDefault="00AB3319" w:rsidP="00E2354D">
            <w:pPr>
              <w:jc w:val="both"/>
              <w:rPr>
                <w:lang w:val="ru-RU"/>
              </w:rPr>
            </w:pPr>
            <w:r w:rsidRPr="00ED5376">
              <w:rPr>
                <w:lang w:val="ru-RU"/>
              </w:rPr>
              <w:t>Topličić-Ćurčić</w:t>
            </w:r>
            <w:r w:rsidRPr="00ED5376">
              <w:rPr>
                <w:lang w:val="en-US"/>
              </w:rPr>
              <w:t xml:space="preserve"> G.</w:t>
            </w:r>
            <w:r w:rsidRPr="00ED5376">
              <w:rPr>
                <w:lang w:val="ru-RU"/>
              </w:rPr>
              <w:t>, Grdić</w:t>
            </w:r>
            <w:r w:rsidRPr="00ED5376">
              <w:rPr>
                <w:lang w:val="en-US"/>
              </w:rPr>
              <w:t xml:space="preserve"> Z.</w:t>
            </w:r>
            <w:r w:rsidRPr="00ED5376">
              <w:rPr>
                <w:lang w:val="ru-RU"/>
              </w:rPr>
              <w:t>, Ristić</w:t>
            </w:r>
            <w:r w:rsidRPr="00ED5376">
              <w:rPr>
                <w:lang w:val="en-US"/>
              </w:rPr>
              <w:t xml:space="preserve"> N.</w:t>
            </w:r>
            <w:r w:rsidRPr="00ED5376">
              <w:rPr>
                <w:lang w:val="ru-RU"/>
              </w:rPr>
              <w:t>, Despotović</w:t>
            </w:r>
            <w:r w:rsidRPr="00ED5376">
              <w:rPr>
                <w:lang w:val="en-US"/>
              </w:rPr>
              <w:t xml:space="preserve"> I.</w:t>
            </w:r>
            <w:r w:rsidRPr="00ED5376">
              <w:rPr>
                <w:lang w:val="ru-RU"/>
              </w:rPr>
              <w:t>, Đorđević</w:t>
            </w:r>
            <w:r w:rsidRPr="00ED5376">
              <w:rPr>
                <w:lang w:val="en-US"/>
              </w:rPr>
              <w:t xml:space="preserve"> D.</w:t>
            </w:r>
            <w:r w:rsidRPr="00ED5376">
              <w:rPr>
                <w:lang w:val="ru-RU"/>
              </w:rPr>
              <w:t>,</w:t>
            </w:r>
            <w:r w:rsidRPr="00ED5376">
              <w:rPr>
                <w:lang w:val="sr-Latn-RS"/>
              </w:rPr>
              <w:t xml:space="preserve"> </w:t>
            </w:r>
            <w:r w:rsidRPr="00ED5376">
              <w:rPr>
                <w:lang w:val="ru-RU"/>
              </w:rPr>
              <w:t>Đorđević</w:t>
            </w:r>
            <w:r w:rsidRPr="00ED5376">
              <w:rPr>
                <w:lang w:val="en-US"/>
              </w:rPr>
              <w:t xml:space="preserve"> M.</w:t>
            </w:r>
            <w:r w:rsidRPr="00ED5376">
              <w:rPr>
                <w:lang w:val="ru-RU"/>
              </w:rPr>
              <w:t>: „Aggregate Type Impact on Water Permeability of Concrete“,</w:t>
            </w:r>
            <w:r w:rsidRPr="00ED5376">
              <w:rPr>
                <w:lang w:val="sr-Latn-RS"/>
              </w:rPr>
              <w:t xml:space="preserve"> </w:t>
            </w:r>
            <w:r w:rsidRPr="00ED5376">
              <w:rPr>
                <w:lang w:val="ru-RU"/>
              </w:rPr>
              <w:t>Romanian Journal of Materials, No. 2/2012, ISSN 1583-3186, Vol. 42, p.p. 134 – 142.</w:t>
            </w:r>
          </w:p>
        </w:tc>
      </w:tr>
      <w:tr w:rsidR="00AB3319" w:rsidRPr="00ED5376" w:rsidTr="00CF31E3">
        <w:tc>
          <w:tcPr>
            <w:tcW w:w="466" w:type="dxa"/>
            <w:shd w:val="clear" w:color="auto" w:fill="auto"/>
            <w:vAlign w:val="center"/>
          </w:tcPr>
          <w:p w:rsidR="00AB3319" w:rsidRPr="00ED5376" w:rsidRDefault="00AB3319" w:rsidP="00B9660D">
            <w:pPr>
              <w:jc w:val="center"/>
            </w:pPr>
            <w:r w:rsidRPr="00ED5376">
              <w:rPr>
                <w:lang w:val="sr-Cyrl-CS"/>
              </w:rPr>
              <w:t>6</w:t>
            </w:r>
            <w:r w:rsidRPr="00ED5376">
              <w:t>.</w:t>
            </w:r>
          </w:p>
        </w:tc>
        <w:tc>
          <w:tcPr>
            <w:tcW w:w="9740" w:type="dxa"/>
            <w:gridSpan w:val="10"/>
            <w:shd w:val="clear" w:color="auto" w:fill="auto"/>
            <w:vAlign w:val="center"/>
          </w:tcPr>
          <w:p w:rsidR="00AB3319" w:rsidRPr="00ED5376" w:rsidRDefault="00AB3319" w:rsidP="00E2354D">
            <w:pPr>
              <w:jc w:val="both"/>
              <w:rPr>
                <w:lang w:val="ru-RU"/>
              </w:rPr>
            </w:pPr>
            <w:r w:rsidRPr="00ED5376">
              <w:rPr>
                <w:lang w:val="ru-RU"/>
              </w:rPr>
              <w:t>Grdić Z., Topličić-Ćurčić G., Ristić N., Despotović I.: „The "VRLA" HE</w:t>
            </w:r>
            <w:r w:rsidRPr="00ED5376">
              <w:rPr>
                <w:lang w:val="sr-Latn-RS"/>
              </w:rPr>
              <w:t xml:space="preserve"> </w:t>
            </w:r>
            <w:r w:rsidRPr="00ED5376">
              <w:rPr>
                <w:lang w:val="ru-RU"/>
              </w:rPr>
              <w:t>Plant Entry Structure Concrete Restoration“, Technical Gazette, Faculty of Mechanical</w:t>
            </w:r>
            <w:r w:rsidRPr="00ED5376">
              <w:rPr>
                <w:lang w:val="sr-Latn-RS"/>
              </w:rPr>
              <w:t xml:space="preserve"> </w:t>
            </w:r>
            <w:r w:rsidRPr="00ED5376">
              <w:rPr>
                <w:lang w:val="ru-RU"/>
              </w:rPr>
              <w:t>Engineering in Slavonski Brod, Faculty of Electrical Engineering in Osijek, Faculty of Civil</w:t>
            </w:r>
            <w:r w:rsidRPr="00ED5376">
              <w:rPr>
                <w:lang w:val="sr-Latn-RS"/>
              </w:rPr>
              <w:t xml:space="preserve"> </w:t>
            </w:r>
            <w:r w:rsidRPr="00ED5376">
              <w:rPr>
                <w:lang w:val="ru-RU"/>
              </w:rPr>
              <w:t>Engineering in Osijek, Vol. 19, No. 3, September 2012., ISSN: 1330-3651, UDC/UDK</w:t>
            </w:r>
            <w:r w:rsidRPr="00ED5376">
              <w:rPr>
                <w:lang w:val="sr-Latn-RS"/>
              </w:rPr>
              <w:t xml:space="preserve"> </w:t>
            </w:r>
            <w:r w:rsidRPr="00ED5376">
              <w:rPr>
                <w:lang w:val="ru-RU"/>
              </w:rPr>
              <w:t>620.193:624.012.4 p.p. 703 – 707.</w:t>
            </w:r>
          </w:p>
        </w:tc>
      </w:tr>
      <w:tr w:rsidR="00AB3319" w:rsidRPr="00ED5376" w:rsidTr="00CF31E3">
        <w:tc>
          <w:tcPr>
            <w:tcW w:w="466" w:type="dxa"/>
            <w:shd w:val="clear" w:color="auto" w:fill="auto"/>
            <w:vAlign w:val="center"/>
          </w:tcPr>
          <w:p w:rsidR="00AB3319" w:rsidRPr="00ED5376" w:rsidRDefault="00AB3319" w:rsidP="00B9660D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lang w:val="en-US"/>
              </w:rPr>
            </w:pPr>
            <w:r w:rsidRPr="00ED5376">
              <w:rPr>
                <w:lang w:val="en-US"/>
              </w:rPr>
              <w:t>7.</w:t>
            </w:r>
          </w:p>
        </w:tc>
        <w:tc>
          <w:tcPr>
            <w:tcW w:w="9740" w:type="dxa"/>
            <w:gridSpan w:val="10"/>
            <w:shd w:val="clear" w:color="auto" w:fill="auto"/>
            <w:vAlign w:val="center"/>
          </w:tcPr>
          <w:p w:rsidR="00AB3319" w:rsidRPr="00ED5376" w:rsidRDefault="00AB3319" w:rsidP="00E2354D">
            <w:pPr>
              <w:pStyle w:val="BodyTextIndent3"/>
              <w:spacing w:after="0"/>
              <w:ind w:left="0"/>
              <w:jc w:val="both"/>
              <w:rPr>
                <w:sz w:val="20"/>
                <w:szCs w:val="20"/>
                <w:lang w:val="sr-Cyrl-CS"/>
              </w:rPr>
            </w:pPr>
            <w:r w:rsidRPr="00ED5376">
              <w:rPr>
                <w:sz w:val="20"/>
                <w:szCs w:val="20"/>
                <w:lang w:val="sr-Cyrl-CS"/>
              </w:rPr>
              <w:t xml:space="preserve">Zoran Grdić: Едитор </w:t>
            </w:r>
            <w:r w:rsidRPr="00ED5376">
              <w:rPr>
                <w:sz w:val="20"/>
                <w:szCs w:val="20"/>
                <w:lang w:val="en-US"/>
              </w:rPr>
              <w:t>zbornika radova</w:t>
            </w:r>
            <w:r w:rsidRPr="00ED5376">
              <w:rPr>
                <w:sz w:val="20"/>
                <w:szCs w:val="20"/>
                <w:lang w:val="sr-Cyrl-CS"/>
              </w:rPr>
              <w:t xml:space="preserve"> “International Conference Research in the Field of Building Materials and Structures”, Belgrade, October 19, 2012., CIP 624(082), 69(082), 666.7/.9(082), ISBN 978-86-86-36336-7, COBISS.SR-ID 194052620</w:t>
            </w:r>
          </w:p>
        </w:tc>
      </w:tr>
      <w:tr w:rsidR="00AB3319" w:rsidRPr="00ED5376" w:rsidTr="00CF31E3">
        <w:tc>
          <w:tcPr>
            <w:tcW w:w="466" w:type="dxa"/>
            <w:shd w:val="clear" w:color="auto" w:fill="auto"/>
            <w:vAlign w:val="center"/>
          </w:tcPr>
          <w:p w:rsidR="00AB3319" w:rsidRPr="00ED5376" w:rsidRDefault="00AB3319" w:rsidP="00B9660D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lang w:val="en-US"/>
              </w:rPr>
            </w:pPr>
            <w:r w:rsidRPr="00ED5376">
              <w:rPr>
                <w:lang w:val="en-US"/>
              </w:rPr>
              <w:t>8.</w:t>
            </w:r>
          </w:p>
        </w:tc>
        <w:tc>
          <w:tcPr>
            <w:tcW w:w="9740" w:type="dxa"/>
            <w:gridSpan w:val="10"/>
            <w:shd w:val="clear" w:color="auto" w:fill="auto"/>
            <w:vAlign w:val="center"/>
          </w:tcPr>
          <w:p w:rsidR="00AB3319" w:rsidRPr="00ED5376" w:rsidRDefault="00AB3319" w:rsidP="00E2354D">
            <w:pPr>
              <w:jc w:val="both"/>
              <w:rPr>
                <w:lang w:val="sr-Cyrl-CS"/>
              </w:rPr>
            </w:pPr>
            <w:r w:rsidRPr="00ED5376">
              <w:rPr>
                <w:lang w:val="sr-Cyrl-CS"/>
              </w:rPr>
              <w:t>Jevtić</w:t>
            </w:r>
            <w:r w:rsidRPr="00ED5376">
              <w:rPr>
                <w:lang w:val="en-US"/>
              </w:rPr>
              <w:t xml:space="preserve"> D.</w:t>
            </w:r>
            <w:r w:rsidRPr="00ED5376">
              <w:rPr>
                <w:lang w:val="sr-Cyrl-CS"/>
              </w:rPr>
              <w:t>, Grdić</w:t>
            </w:r>
            <w:r w:rsidRPr="00ED5376">
              <w:rPr>
                <w:lang w:val="en-US"/>
              </w:rPr>
              <w:t xml:space="preserve"> Z.</w:t>
            </w:r>
            <w:r w:rsidRPr="00ED5376">
              <w:rPr>
                <w:lang w:val="sr-Cyrl-CS"/>
              </w:rPr>
              <w:t>, Stefanović</w:t>
            </w:r>
            <w:r w:rsidRPr="00ED5376">
              <w:rPr>
                <w:lang w:val="en-US"/>
              </w:rPr>
              <w:t xml:space="preserve"> S.</w:t>
            </w:r>
            <w:r w:rsidRPr="00ED5376">
              <w:rPr>
                <w:lang w:val="sr-Cyrl-CS"/>
              </w:rPr>
              <w:t xml:space="preserve">: </w:t>
            </w:r>
            <w:r w:rsidRPr="00ED5376">
              <w:rPr>
                <w:lang w:val="sr-Latn-RS"/>
              </w:rPr>
              <w:t>P</w:t>
            </w:r>
            <w:r w:rsidRPr="00ED5376">
              <w:rPr>
                <w:lang w:val="sr-Cyrl-CS"/>
              </w:rPr>
              <w:t>oglavlje u monografiji „Korozija i zaštita</w:t>
            </w:r>
            <w:r w:rsidRPr="00ED5376">
              <w:rPr>
                <w:lang w:val="en-US"/>
              </w:rPr>
              <w:t xml:space="preserve"> </w:t>
            </w:r>
            <w:r w:rsidRPr="00ED5376">
              <w:rPr>
                <w:lang w:val="sr-Cyrl-CS"/>
              </w:rPr>
              <w:t>materijala“, Inženjersko društvo za koroziju i ITNMS, urednici Zvonko Gulišija i Časlav</w:t>
            </w:r>
            <w:r w:rsidRPr="00ED5376">
              <w:rPr>
                <w:lang w:val="en-US"/>
              </w:rPr>
              <w:t xml:space="preserve"> </w:t>
            </w:r>
            <w:r w:rsidRPr="00ED5376">
              <w:rPr>
                <w:lang w:val="sr-Cyrl-CS"/>
              </w:rPr>
              <w:t>Lačnjevac,</w:t>
            </w:r>
            <w:r w:rsidRPr="00ED5376">
              <w:rPr>
                <w:lang w:val="en-US"/>
              </w:rPr>
              <w:t xml:space="preserve"> </w:t>
            </w:r>
            <w:r w:rsidRPr="00ED5376">
              <w:rPr>
                <w:lang w:val="sr-Cyrl-CS"/>
              </w:rPr>
              <w:t>Beograd, 2012. ISBN 978-86-413303-2-3</w:t>
            </w:r>
            <w:r w:rsidRPr="00ED5376">
              <w:rPr>
                <w:lang w:val="sr-Cyrl-CS"/>
              </w:rPr>
              <w:tab/>
            </w:r>
          </w:p>
        </w:tc>
      </w:tr>
      <w:tr w:rsidR="00AB3319" w:rsidRPr="00ED5376" w:rsidTr="00CF31E3">
        <w:tc>
          <w:tcPr>
            <w:tcW w:w="466" w:type="dxa"/>
            <w:shd w:val="clear" w:color="auto" w:fill="auto"/>
            <w:vAlign w:val="center"/>
          </w:tcPr>
          <w:p w:rsidR="00AB3319" w:rsidRPr="00ED5376" w:rsidRDefault="00AB3319" w:rsidP="00B9660D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lang w:val="en-US"/>
              </w:rPr>
            </w:pPr>
            <w:r w:rsidRPr="00ED5376">
              <w:rPr>
                <w:lang w:val="en-US"/>
              </w:rPr>
              <w:t>9.</w:t>
            </w:r>
          </w:p>
        </w:tc>
        <w:tc>
          <w:tcPr>
            <w:tcW w:w="9740" w:type="dxa"/>
            <w:gridSpan w:val="10"/>
            <w:shd w:val="clear" w:color="auto" w:fill="auto"/>
            <w:vAlign w:val="center"/>
          </w:tcPr>
          <w:p w:rsidR="00AB3319" w:rsidRPr="00ED5376" w:rsidRDefault="00AB3319" w:rsidP="00E2354D">
            <w:pPr>
              <w:jc w:val="both"/>
              <w:rPr>
                <w:lang w:val="ru-RU"/>
              </w:rPr>
            </w:pPr>
            <w:r w:rsidRPr="00ED5376">
              <w:rPr>
                <w:lang w:val="ru-RU"/>
              </w:rPr>
              <w:t>Grdic</w:t>
            </w:r>
            <w:r w:rsidRPr="00ED5376">
              <w:rPr>
                <w:lang w:val="en-US"/>
              </w:rPr>
              <w:t xml:space="preserve"> Z.</w:t>
            </w:r>
            <w:r w:rsidRPr="00ED5376">
              <w:rPr>
                <w:lang w:val="ru-RU"/>
              </w:rPr>
              <w:t>, Topličić-Ćurčić</w:t>
            </w:r>
            <w:r w:rsidRPr="00ED5376">
              <w:rPr>
                <w:lang w:val="en-US"/>
              </w:rPr>
              <w:t xml:space="preserve"> G.</w:t>
            </w:r>
            <w:r w:rsidRPr="00ED5376">
              <w:rPr>
                <w:lang w:val="ru-RU"/>
              </w:rPr>
              <w:t>: Editors of the Proceedings „IV International</w:t>
            </w:r>
            <w:r w:rsidRPr="00ED5376">
              <w:rPr>
                <w:lang w:val="en-US"/>
              </w:rPr>
              <w:t xml:space="preserve"> </w:t>
            </w:r>
            <w:r w:rsidRPr="00ED5376">
              <w:rPr>
                <w:lang w:val="ru-RU"/>
              </w:rPr>
              <w:t>Symposium for Students of Doctoral Studies in the Fields of Civil Engineering, Architecture and Environmental Protection - PhIDAC 2012, Nis, 27-28 September,</w:t>
            </w:r>
            <w:r w:rsidRPr="00ED5376">
              <w:rPr>
                <w:lang w:val="en-US"/>
              </w:rPr>
              <w:t xml:space="preserve"> </w:t>
            </w:r>
            <w:r w:rsidRPr="00ED5376">
              <w:rPr>
                <w:lang w:val="ru-RU"/>
              </w:rPr>
              <w:t>2012“, University of Nis, Faculty of Civil Engineering and Architetcure, 27-28. September</w:t>
            </w:r>
            <w:r w:rsidRPr="00ED5376">
              <w:rPr>
                <w:lang w:val="en-US"/>
              </w:rPr>
              <w:t xml:space="preserve"> </w:t>
            </w:r>
            <w:r w:rsidRPr="00ED5376">
              <w:rPr>
                <w:lang w:val="ru-RU"/>
              </w:rPr>
              <w:t>2012., CIP 624(082), 72(082), 502/504(082), ISBN 978-86-88601-05-4, COBISS. SR-ID</w:t>
            </w:r>
            <w:r w:rsidRPr="00ED5376">
              <w:rPr>
                <w:lang w:val="en-US"/>
              </w:rPr>
              <w:t xml:space="preserve"> </w:t>
            </w:r>
            <w:r w:rsidRPr="00ED5376">
              <w:rPr>
                <w:lang w:val="ru-RU"/>
              </w:rPr>
              <w:t>193543948</w:t>
            </w:r>
          </w:p>
        </w:tc>
      </w:tr>
      <w:tr w:rsidR="00AB3319" w:rsidRPr="00ED5376" w:rsidTr="00CF31E3">
        <w:tc>
          <w:tcPr>
            <w:tcW w:w="466" w:type="dxa"/>
            <w:shd w:val="clear" w:color="auto" w:fill="auto"/>
            <w:vAlign w:val="center"/>
          </w:tcPr>
          <w:p w:rsidR="00AB3319" w:rsidRPr="00ED5376" w:rsidRDefault="00AB3319" w:rsidP="00B9660D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lang w:val="en-US"/>
              </w:rPr>
            </w:pPr>
            <w:r w:rsidRPr="00ED5376">
              <w:rPr>
                <w:lang w:val="en-US"/>
              </w:rPr>
              <w:t>10.</w:t>
            </w:r>
          </w:p>
        </w:tc>
        <w:tc>
          <w:tcPr>
            <w:tcW w:w="9740" w:type="dxa"/>
            <w:gridSpan w:val="10"/>
            <w:shd w:val="clear" w:color="auto" w:fill="auto"/>
            <w:vAlign w:val="center"/>
          </w:tcPr>
          <w:p w:rsidR="00AB3319" w:rsidRPr="00ED5376" w:rsidRDefault="00AB3319" w:rsidP="00E2354D">
            <w:pPr>
              <w:jc w:val="both"/>
              <w:rPr>
                <w:lang w:val="sr-Latn-RS"/>
              </w:rPr>
            </w:pPr>
            <w:r w:rsidRPr="00ED5376">
              <w:rPr>
                <w:lang w:val="sr-Cyrl-RS"/>
              </w:rPr>
              <w:t>Зоран Грдић: „Технологија бетона“, Грађевинско-архитектонски факултет</w:t>
            </w:r>
            <w:r w:rsidRPr="00ED5376">
              <w:rPr>
                <w:lang w:val="ru-RU"/>
              </w:rPr>
              <w:t xml:space="preserve">, 2011., </w:t>
            </w:r>
            <w:r w:rsidRPr="00ED5376">
              <w:rPr>
                <w:lang w:val="en-US"/>
              </w:rPr>
              <w:t>CIP 666.97</w:t>
            </w:r>
            <w:r w:rsidRPr="00ED5376">
              <w:rPr>
                <w:lang w:val="sr-Latn-RS"/>
              </w:rPr>
              <w:t>/98.(075.8), ISBN 978-86-80295-94-7, COBISS.SR-ID 183193356</w:t>
            </w:r>
          </w:p>
        </w:tc>
      </w:tr>
      <w:tr w:rsidR="00AB3319" w:rsidRPr="00ED5376" w:rsidTr="00CF31E3">
        <w:tc>
          <w:tcPr>
            <w:tcW w:w="10206" w:type="dxa"/>
            <w:gridSpan w:val="11"/>
            <w:shd w:val="clear" w:color="auto" w:fill="auto"/>
          </w:tcPr>
          <w:p w:rsidR="00AB3319" w:rsidRPr="00ED5376" w:rsidRDefault="00AB3319" w:rsidP="00367E7B">
            <w:pPr>
              <w:rPr>
                <w:b/>
                <w:lang w:val="sr-Cyrl-CS"/>
              </w:rPr>
            </w:pPr>
            <w:r w:rsidRPr="00ED5376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AB3319" w:rsidRPr="00ED5376" w:rsidTr="00CF31E3">
        <w:tc>
          <w:tcPr>
            <w:tcW w:w="3781" w:type="dxa"/>
            <w:gridSpan w:val="5"/>
            <w:shd w:val="clear" w:color="auto" w:fill="auto"/>
          </w:tcPr>
          <w:p w:rsidR="00AB3319" w:rsidRPr="00ED5376" w:rsidRDefault="00AB3319" w:rsidP="00367E7B">
            <w:pPr>
              <w:rPr>
                <w:lang w:val="sr-Cyrl-CS"/>
              </w:rPr>
            </w:pPr>
            <w:r w:rsidRPr="00ED5376">
              <w:rPr>
                <w:lang w:val="sr-Cyrl-CS"/>
              </w:rPr>
              <w:t>Укупан број цитата</w:t>
            </w:r>
          </w:p>
        </w:tc>
        <w:tc>
          <w:tcPr>
            <w:tcW w:w="6425" w:type="dxa"/>
            <w:gridSpan w:val="6"/>
            <w:shd w:val="clear" w:color="auto" w:fill="auto"/>
          </w:tcPr>
          <w:p w:rsidR="00AB3319" w:rsidRPr="00ED5376" w:rsidRDefault="00AB3319" w:rsidP="00367E7B">
            <w:pPr>
              <w:rPr>
                <w:lang w:val="sr-Latn-RS"/>
              </w:rPr>
            </w:pPr>
            <w:r w:rsidRPr="00ED5376">
              <w:rPr>
                <w:lang w:val="sr-Latn-RS"/>
              </w:rPr>
              <w:t>11</w:t>
            </w:r>
          </w:p>
        </w:tc>
      </w:tr>
      <w:tr w:rsidR="00AB3319" w:rsidRPr="00ED5376" w:rsidTr="00CF31E3">
        <w:tc>
          <w:tcPr>
            <w:tcW w:w="3781" w:type="dxa"/>
            <w:gridSpan w:val="5"/>
            <w:shd w:val="clear" w:color="auto" w:fill="auto"/>
          </w:tcPr>
          <w:p w:rsidR="00AB3319" w:rsidRPr="00ED5376" w:rsidRDefault="00AB3319" w:rsidP="00367E7B">
            <w:pPr>
              <w:rPr>
                <w:lang w:val="sr-Cyrl-CS"/>
              </w:rPr>
            </w:pPr>
            <w:r w:rsidRPr="00ED5376">
              <w:rPr>
                <w:lang w:val="sr-Cyrl-CS"/>
              </w:rPr>
              <w:t xml:space="preserve">Укупан број радова са </w:t>
            </w:r>
            <w:r w:rsidRPr="00ED5376">
              <w:rPr>
                <w:lang w:val="en-US"/>
              </w:rPr>
              <w:t>SCI</w:t>
            </w:r>
            <w:r w:rsidRPr="00ED5376">
              <w:rPr>
                <w:lang w:val="sr-Cyrl-CS"/>
              </w:rPr>
              <w:t xml:space="preserve"> (</w:t>
            </w:r>
            <w:r w:rsidRPr="00ED5376">
              <w:rPr>
                <w:lang w:val="en-US"/>
              </w:rPr>
              <w:t>SSCI</w:t>
            </w:r>
            <w:r w:rsidRPr="00ED5376">
              <w:rPr>
                <w:lang w:val="sr-Cyrl-CS"/>
              </w:rPr>
              <w:t>) листе</w:t>
            </w:r>
          </w:p>
        </w:tc>
        <w:tc>
          <w:tcPr>
            <w:tcW w:w="6425" w:type="dxa"/>
            <w:gridSpan w:val="6"/>
            <w:shd w:val="clear" w:color="auto" w:fill="auto"/>
          </w:tcPr>
          <w:p w:rsidR="00AB3319" w:rsidRPr="00ED5376" w:rsidRDefault="00AB3319" w:rsidP="00367E7B">
            <w:r w:rsidRPr="00ED5376">
              <w:t>5</w:t>
            </w:r>
          </w:p>
        </w:tc>
      </w:tr>
      <w:tr w:rsidR="00AB3319" w:rsidRPr="00ED5376" w:rsidTr="00CF31E3">
        <w:tc>
          <w:tcPr>
            <w:tcW w:w="3781" w:type="dxa"/>
            <w:gridSpan w:val="5"/>
            <w:shd w:val="clear" w:color="auto" w:fill="auto"/>
          </w:tcPr>
          <w:p w:rsidR="00AB3319" w:rsidRPr="00ED5376" w:rsidRDefault="00AB3319" w:rsidP="00367E7B">
            <w:pPr>
              <w:rPr>
                <w:lang w:val="sr-Cyrl-CS"/>
              </w:rPr>
            </w:pPr>
            <w:r w:rsidRPr="00ED5376">
              <w:t>Тренутно у</w:t>
            </w:r>
            <w:r w:rsidRPr="00ED5376">
              <w:rPr>
                <w:lang w:val="sr-Cyrl-CS"/>
              </w:rPr>
              <w:t>чешће на пројектима</w:t>
            </w:r>
          </w:p>
        </w:tc>
        <w:tc>
          <w:tcPr>
            <w:tcW w:w="3309" w:type="dxa"/>
            <w:gridSpan w:val="3"/>
            <w:shd w:val="clear" w:color="auto" w:fill="auto"/>
          </w:tcPr>
          <w:p w:rsidR="00AB3319" w:rsidRPr="00514800" w:rsidRDefault="00AB3319" w:rsidP="00514800">
            <w:pPr>
              <w:rPr>
                <w:lang w:val="sr-Cyrl-RS"/>
              </w:rPr>
            </w:pPr>
            <w:r w:rsidRPr="00ED5376">
              <w:rPr>
                <w:lang w:val="sr-Cyrl-CS"/>
              </w:rPr>
              <w:t>Домаћи</w:t>
            </w:r>
            <w:r w:rsidRPr="00ED5376">
              <w:t xml:space="preserve"> </w:t>
            </w:r>
            <w:r w:rsidRPr="00ED5376">
              <w:rPr>
                <w:lang w:val="sr-Cyrl-CS"/>
              </w:rPr>
              <w:t xml:space="preserve">  </w:t>
            </w:r>
            <w:r>
              <w:rPr>
                <w:lang w:val="sr-Cyrl-RS"/>
              </w:rPr>
              <w:t>1</w:t>
            </w:r>
          </w:p>
        </w:tc>
        <w:tc>
          <w:tcPr>
            <w:tcW w:w="3116" w:type="dxa"/>
            <w:gridSpan w:val="3"/>
            <w:shd w:val="clear" w:color="auto" w:fill="auto"/>
          </w:tcPr>
          <w:p w:rsidR="00AB3319" w:rsidRPr="00ED5376" w:rsidRDefault="00AB3319" w:rsidP="00367E7B">
            <w:r w:rsidRPr="00ED5376">
              <w:rPr>
                <w:lang w:val="sr-Cyrl-CS"/>
              </w:rPr>
              <w:t>Међународни</w:t>
            </w:r>
            <w:r w:rsidRPr="00ED5376">
              <w:t xml:space="preserve"> </w:t>
            </w:r>
          </w:p>
        </w:tc>
      </w:tr>
      <w:tr w:rsidR="00AB3319" w:rsidRPr="00ED5376" w:rsidTr="00CF31E3">
        <w:tc>
          <w:tcPr>
            <w:tcW w:w="2172" w:type="dxa"/>
            <w:gridSpan w:val="2"/>
            <w:shd w:val="clear" w:color="auto" w:fill="auto"/>
          </w:tcPr>
          <w:p w:rsidR="00AB3319" w:rsidRPr="00ED5376" w:rsidRDefault="00AB3319" w:rsidP="00367E7B">
            <w:pPr>
              <w:rPr>
                <w:lang w:val="sr-Cyrl-CS"/>
              </w:rPr>
            </w:pPr>
            <w:r w:rsidRPr="00ED5376">
              <w:rPr>
                <w:lang w:val="sr-Cyrl-CS"/>
              </w:rPr>
              <w:t xml:space="preserve">Усавршавања </w:t>
            </w:r>
          </w:p>
        </w:tc>
        <w:tc>
          <w:tcPr>
            <w:tcW w:w="8034" w:type="dxa"/>
            <w:gridSpan w:val="9"/>
            <w:shd w:val="clear" w:color="auto" w:fill="auto"/>
          </w:tcPr>
          <w:p w:rsidR="00AB3319" w:rsidRPr="00ED5376" w:rsidRDefault="00AB3319" w:rsidP="00514800">
            <w:pPr>
              <w:jc w:val="both"/>
              <w:rPr>
                <w:lang w:val="sr-Cyrl-CS"/>
              </w:rPr>
            </w:pPr>
            <w:r w:rsidRPr="00ED5376">
              <w:rPr>
                <w:lang w:val="sr-Cyrl-CS"/>
              </w:rPr>
              <w:t>Боравци у трајању од по једног месеца у Институту ИМС, Институту за путеве у Београду и Грађевинском факултету у Београду</w:t>
            </w:r>
          </w:p>
        </w:tc>
      </w:tr>
      <w:tr w:rsidR="00AB3319" w:rsidRPr="00ED5376" w:rsidTr="00CF31E3">
        <w:tc>
          <w:tcPr>
            <w:tcW w:w="10206" w:type="dxa"/>
            <w:gridSpan w:val="11"/>
            <w:shd w:val="clear" w:color="auto" w:fill="auto"/>
          </w:tcPr>
          <w:p w:rsidR="00AB3319" w:rsidRPr="00ED5376" w:rsidRDefault="00AB3319" w:rsidP="00AB3319">
            <w:pPr>
              <w:jc w:val="both"/>
            </w:pPr>
            <w:r w:rsidRPr="00ED5376">
              <w:rPr>
                <w:lang w:val="sr-Cyrl-CS"/>
              </w:rPr>
              <w:t>Други подаци које сматрате релевантним</w:t>
            </w:r>
            <w:r w:rsidRPr="00ED5376">
              <w:t xml:space="preserve">: </w:t>
            </w:r>
            <w:r>
              <w:rPr>
                <w:lang w:val="sr-Cyrl-CS"/>
              </w:rPr>
              <w:t>У</w:t>
            </w:r>
            <w:r w:rsidRPr="00ED5376">
              <w:rPr>
                <w:lang w:val="sr-Cyrl-CS"/>
              </w:rPr>
              <w:t>чешће у 9 научноистраживачких пројеката које је финансирало Министарство науке и једном међународном пројекту</w:t>
            </w:r>
          </w:p>
        </w:tc>
      </w:tr>
    </w:tbl>
    <w:p w:rsidR="00367E7B" w:rsidRPr="00D61AE4" w:rsidRDefault="00367E7B" w:rsidP="00AC17DF">
      <w:pPr>
        <w:rPr>
          <w:lang w:val="en-US"/>
        </w:rPr>
      </w:pPr>
    </w:p>
    <w:sectPr w:rsidR="00367E7B" w:rsidRPr="00D61AE4" w:rsidSect="001B3914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vGulliv-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BE0394C"/>
    <w:multiLevelType w:val="multilevel"/>
    <w:tmpl w:val="74D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984F04"/>
    <w:multiLevelType w:val="multilevel"/>
    <w:tmpl w:val="74D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7B"/>
    <w:rsid w:val="000144F3"/>
    <w:rsid w:val="000D2E8A"/>
    <w:rsid w:val="001106DD"/>
    <w:rsid w:val="0013482E"/>
    <w:rsid w:val="00185734"/>
    <w:rsid w:val="001B3914"/>
    <w:rsid w:val="002047C5"/>
    <w:rsid w:val="0021721D"/>
    <w:rsid w:val="00293A46"/>
    <w:rsid w:val="002D79AD"/>
    <w:rsid w:val="00367E7B"/>
    <w:rsid w:val="003B2D26"/>
    <w:rsid w:val="004B3C05"/>
    <w:rsid w:val="00514800"/>
    <w:rsid w:val="00566633"/>
    <w:rsid w:val="00567799"/>
    <w:rsid w:val="005A6413"/>
    <w:rsid w:val="005C6D6D"/>
    <w:rsid w:val="00615D2E"/>
    <w:rsid w:val="00701DB2"/>
    <w:rsid w:val="007E1612"/>
    <w:rsid w:val="00825474"/>
    <w:rsid w:val="00850DE5"/>
    <w:rsid w:val="008B7713"/>
    <w:rsid w:val="00923529"/>
    <w:rsid w:val="00A21BB4"/>
    <w:rsid w:val="00A45B0E"/>
    <w:rsid w:val="00AB3319"/>
    <w:rsid w:val="00AC17DF"/>
    <w:rsid w:val="00B1730C"/>
    <w:rsid w:val="00B33487"/>
    <w:rsid w:val="00B34FBE"/>
    <w:rsid w:val="00B94CCE"/>
    <w:rsid w:val="00B9660D"/>
    <w:rsid w:val="00BD785E"/>
    <w:rsid w:val="00BE1502"/>
    <w:rsid w:val="00C90C9E"/>
    <w:rsid w:val="00CF31E3"/>
    <w:rsid w:val="00D61AE4"/>
    <w:rsid w:val="00D715F3"/>
    <w:rsid w:val="00DA32F7"/>
    <w:rsid w:val="00DC2AAC"/>
    <w:rsid w:val="00DD080A"/>
    <w:rsid w:val="00E2354D"/>
    <w:rsid w:val="00ED5376"/>
    <w:rsid w:val="00FB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3B2D26"/>
    <w:pPr>
      <w:spacing w:after="120"/>
      <w:ind w:left="360"/>
    </w:pPr>
    <w:rPr>
      <w:sz w:val="16"/>
      <w:szCs w:val="16"/>
    </w:rPr>
  </w:style>
  <w:style w:type="paragraph" w:customStyle="1" w:styleId="CharCharCharChar">
    <w:name w:val="Char Знак Char Char Знак Char"/>
    <w:basedOn w:val="Normal"/>
    <w:rsid w:val="0013482E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3B2D26"/>
    <w:pPr>
      <w:spacing w:after="120"/>
      <w:ind w:left="360"/>
    </w:pPr>
    <w:rPr>
      <w:sz w:val="16"/>
      <w:szCs w:val="16"/>
    </w:rPr>
  </w:style>
  <w:style w:type="paragraph" w:customStyle="1" w:styleId="CharCharCharChar">
    <w:name w:val="Char Знак Char Char Знак Char"/>
    <w:basedOn w:val="Normal"/>
    <w:rsid w:val="0013482E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FFH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Vera Dondur</dc:creator>
  <cp:lastModifiedBy>Ljiljana Jevremovic</cp:lastModifiedBy>
  <cp:revision>6</cp:revision>
  <cp:lastPrinted>2008-05-16T14:50:00Z</cp:lastPrinted>
  <dcterms:created xsi:type="dcterms:W3CDTF">2014-01-08T17:41:00Z</dcterms:created>
  <dcterms:modified xsi:type="dcterms:W3CDTF">2014-01-08T18:11:00Z</dcterms:modified>
</cp:coreProperties>
</file>