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33796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33796C" w:rsidRPr="0033796C">
              <w:rPr>
                <w:b/>
                <w:bCs/>
                <w:sz w:val="22"/>
                <w:szCs w:val="22"/>
              </w:rPr>
              <w:t xml:space="preserve">Selected chapters in </w:t>
            </w:r>
            <w:r w:rsidR="0033796C">
              <w:rPr>
                <w:b/>
                <w:bCs/>
                <w:sz w:val="22"/>
                <w:szCs w:val="22"/>
              </w:rPr>
              <w:t>h</w:t>
            </w:r>
            <w:r w:rsidR="0033796C" w:rsidRPr="0033796C">
              <w:rPr>
                <w:b/>
                <w:bCs/>
                <w:sz w:val="22"/>
                <w:szCs w:val="22"/>
              </w:rPr>
              <w:t>ydrology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2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33796C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C172A7" w:rsidRPr="00FC15DE">
                <w:rPr>
                  <w:rStyle w:val="Hyperlink"/>
                  <w:b/>
                  <w:bCs/>
                  <w:sz w:val="22"/>
                  <w:szCs w:val="22"/>
                </w:rPr>
                <w:t xml:space="preserve">Blagojević </w:t>
              </w:r>
              <w:r w:rsidR="0033796C" w:rsidRPr="00FC15DE">
                <w:rPr>
                  <w:rStyle w:val="Hyperlink"/>
                  <w:b/>
                  <w:bCs/>
                  <w:sz w:val="22"/>
                  <w:szCs w:val="22"/>
                </w:rPr>
                <w:t>D.</w:t>
              </w:r>
              <w:r w:rsidR="00C172A7" w:rsidRPr="00FC15DE">
                <w:rPr>
                  <w:rStyle w:val="Hyperlink"/>
                  <w:b/>
                  <w:bCs/>
                  <w:sz w:val="22"/>
                  <w:szCs w:val="22"/>
                </w:rPr>
                <w:t xml:space="preserve"> Borislava</w:t>
              </w:r>
            </w:hyperlink>
            <w:r w:rsidR="0033796C" w:rsidRPr="0033796C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="00C172A7" w:rsidRPr="00FC15DE">
                <w:rPr>
                  <w:rStyle w:val="Hyperlink"/>
                  <w:b/>
                  <w:bCs/>
                  <w:sz w:val="22"/>
                  <w:szCs w:val="22"/>
                </w:rPr>
                <w:t xml:space="preserve">Potić </w:t>
              </w:r>
              <w:r w:rsidR="0033796C" w:rsidRPr="00FC15DE">
                <w:rPr>
                  <w:rStyle w:val="Hyperlink"/>
                  <w:b/>
                  <w:bCs/>
                  <w:sz w:val="22"/>
                  <w:szCs w:val="22"/>
                </w:rPr>
                <w:t xml:space="preserve">V. </w:t>
              </w:r>
              <w:r w:rsidR="00C172A7" w:rsidRPr="00FC15DE">
                <w:rPr>
                  <w:rStyle w:val="Hyperlink"/>
                  <w:b/>
                  <w:bCs/>
                  <w:sz w:val="22"/>
                  <w:szCs w:val="22"/>
                </w:rPr>
                <w:t>Olivera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3796C" w:rsidRPr="00E15B4C" w:rsidRDefault="0033796C" w:rsidP="0033796C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15B4C">
              <w:rPr>
                <w:sz w:val="22"/>
                <w:szCs w:val="22"/>
              </w:rPr>
              <w:t xml:space="preserve">The aim of this course is to </w:t>
            </w:r>
            <w:r>
              <w:rPr>
                <w:sz w:val="22"/>
                <w:szCs w:val="22"/>
              </w:rPr>
              <w:t>explore the linkages between global environmental change and the hydrologic system: how changes in the catchment and the inputs to the catchment affect hydrological regimes, and also assesses the role played by hydrological processes in global environmental change.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33796C" w:rsidRPr="00A72536" w:rsidRDefault="0033796C" w:rsidP="0033796C">
            <w:pPr>
              <w:widowControl/>
              <w:jc w:val="both"/>
              <w:rPr>
                <w:rFonts w:eastAsia="ArialMT"/>
                <w:sz w:val="22"/>
                <w:szCs w:val="22"/>
                <w:lang w:val="en-US" w:eastAsia="en-US"/>
              </w:rPr>
            </w:pPr>
            <w:r>
              <w:rPr>
                <w:rFonts w:eastAsia="ArialMT"/>
                <w:sz w:val="22"/>
                <w:szCs w:val="22"/>
                <w:lang w:val="en-US" w:eastAsia="en-US"/>
              </w:rPr>
              <w:t>S</w:t>
            </w:r>
            <w:r w:rsidRPr="004709BF">
              <w:rPr>
                <w:rFonts w:eastAsia="ArialMT"/>
                <w:sz w:val="22"/>
                <w:szCs w:val="22"/>
                <w:lang w:val="en-US" w:eastAsia="en-US"/>
              </w:rPr>
              <w:t>tudents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 will</w:t>
            </w:r>
            <w:r w:rsidRPr="004709BF">
              <w:rPr>
                <w:rFonts w:eastAsia="ArialMT"/>
                <w:sz w:val="22"/>
                <w:szCs w:val="22"/>
                <w:lang w:val="en-US" w:eastAsia="en-US"/>
              </w:rPr>
              <w:t xml:space="preserve"> integrate their knowledge of the hydrological sciences (climate,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 w:rsidRPr="004709BF">
              <w:rPr>
                <w:rFonts w:eastAsia="ArialMT"/>
                <w:sz w:val="22"/>
                <w:szCs w:val="22"/>
                <w:lang w:val="en-US" w:eastAsia="en-US"/>
              </w:rPr>
              <w:t xml:space="preserve">hydrology, </w:t>
            </w:r>
            <w:proofErr w:type="gramStart"/>
            <w:r w:rsidRPr="004709BF">
              <w:rPr>
                <w:rFonts w:eastAsia="ArialMT"/>
                <w:sz w:val="22"/>
                <w:szCs w:val="22"/>
                <w:lang w:val="en-US" w:eastAsia="en-US"/>
              </w:rPr>
              <w:t>hydrogeology</w:t>
            </w:r>
            <w:proofErr w:type="gramEnd"/>
            <w:r>
              <w:rPr>
                <w:rFonts w:eastAsia="ArialMT"/>
                <w:sz w:val="22"/>
                <w:szCs w:val="22"/>
                <w:lang w:val="en-US" w:eastAsia="en-US"/>
              </w:rPr>
              <w:t>)</w:t>
            </w:r>
            <w:r w:rsidRPr="004709BF">
              <w:rPr>
                <w:rFonts w:eastAsia="ArialMT"/>
                <w:sz w:val="22"/>
                <w:szCs w:val="22"/>
                <w:lang w:val="en-US" w:eastAsia="en-US"/>
              </w:rPr>
              <w:t xml:space="preserve"> to understand the various linkages between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 w:rsidRPr="004709BF">
              <w:rPr>
                <w:rFonts w:eastAsia="ArialMT"/>
                <w:sz w:val="22"/>
                <w:szCs w:val="22"/>
                <w:lang w:val="en-US" w:eastAsia="en-US"/>
              </w:rPr>
              <w:t>the sub-disciplines, exploring the water cycle and its relevance to water resources.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 In the course project students will </w:t>
            </w:r>
            <w:r w:rsidRPr="00A72536">
              <w:rPr>
                <w:rFonts w:eastAsia="ArialMT"/>
                <w:sz w:val="22"/>
                <w:szCs w:val="22"/>
                <w:lang w:val="en-US" w:eastAsia="en-US"/>
              </w:rPr>
              <w:t xml:space="preserve">select a 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catchment</w:t>
            </w:r>
            <w:r w:rsidRPr="00A72536">
              <w:rPr>
                <w:rFonts w:eastAsia="ArialMT"/>
                <w:sz w:val="22"/>
                <w:szCs w:val="22"/>
                <w:lang w:val="en-US" w:eastAsia="en-US"/>
              </w:rPr>
              <w:t xml:space="preserve"> and undertake a 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catchment</w:t>
            </w:r>
            <w:r w:rsidRPr="00A72536">
              <w:rPr>
                <w:rFonts w:eastAsia="ArialMT"/>
                <w:sz w:val="22"/>
                <w:szCs w:val="22"/>
                <w:lang w:val="en-US" w:eastAsia="en-US"/>
              </w:rPr>
              <w:t xml:space="preserve"> change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/climate change </w:t>
            </w:r>
            <w:r w:rsidRPr="00A72536">
              <w:rPr>
                <w:rFonts w:eastAsia="ArialMT"/>
                <w:sz w:val="22"/>
                <w:szCs w:val="22"/>
                <w:lang w:val="en-US" w:eastAsia="en-US"/>
              </w:rPr>
              <w:t>impacts/adaptation/mitigation assessment.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 Through the project students will demonstrate abilities to understand the change, apply learned concepts, analyze and evaluate new situation, and summarize their findings.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33796C" w:rsidRPr="003666FA" w:rsidRDefault="0033796C" w:rsidP="0033796C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The global water balance.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 Components of the water balance (Precipitation.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Interception.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Evaporation and transpiration.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Soil moisture.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Groundwater.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Runoff generation and </w:t>
            </w:r>
            <w:proofErr w:type="spell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streamflow</w:t>
            </w:r>
            <w:proofErr w:type="spell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.).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Water quality and the flux of materials (Physical water quality.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Chemical water quality.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Biogeochemical cycles.).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Patterns of hydrological </w:t>
            </w:r>
            <w:proofErr w:type="spell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(Indicators.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Variation over space.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Variation over time.).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Detecting and estimating change in the catchment (Land cover change effects. Catchment water use effects.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Physical changes in the river network effects.).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Changes to the inputs to the catchments (Acid deposition.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Climate change due to global warming.).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Hydrological processes and the earth system (The atmosphere.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The oceans.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Incorporating hydrological processes into climate models.).</w:t>
            </w:r>
            <w:proofErr w:type="gramEnd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3666FA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Hydrology and global environmental change (An overview).</w:t>
            </w:r>
            <w:proofErr w:type="gramEnd"/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3796C" w:rsidRPr="0033796C" w:rsidRDefault="0033796C" w:rsidP="0033796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33796C">
              <w:rPr>
                <w:bCs/>
                <w:sz w:val="22"/>
                <w:szCs w:val="22"/>
              </w:rPr>
              <w:t>Arnell, N. (2002). Hydrology and Global Environmental Change. Prentice Hall. 368 pp. ISBN 978 0 582 36984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3796C">
              <w:rPr>
                <w:bCs/>
                <w:sz w:val="22"/>
                <w:szCs w:val="22"/>
              </w:rPr>
              <w:t>9</w:t>
            </w:r>
          </w:p>
          <w:p w:rsidR="009538F4" w:rsidRDefault="0033796C" w:rsidP="0033796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2. </w:t>
            </w:r>
            <w:r w:rsidRPr="0033796C">
              <w:rPr>
                <w:bCs/>
                <w:sz w:val="22"/>
                <w:szCs w:val="22"/>
                <w:lang w:val="sr-Cyrl-CS"/>
              </w:rPr>
              <w:t>Intergovernmental Panel on Climate Change (IPCC) 4th</w:t>
            </w:r>
            <w:r w:rsidRPr="0033796C">
              <w:rPr>
                <w:bCs/>
                <w:sz w:val="22"/>
                <w:szCs w:val="22"/>
              </w:rPr>
              <w:t xml:space="preserve"> </w:t>
            </w:r>
            <w:r w:rsidRPr="0033796C">
              <w:rPr>
                <w:bCs/>
                <w:sz w:val="22"/>
                <w:szCs w:val="22"/>
                <w:lang w:val="sr-Cyrl-CS"/>
              </w:rPr>
              <w:t>Assessment Report</w:t>
            </w:r>
            <w:r w:rsidRPr="0033796C">
              <w:rPr>
                <w:bCs/>
                <w:sz w:val="22"/>
                <w:szCs w:val="22"/>
              </w:rPr>
              <w:t xml:space="preserve"> </w:t>
            </w:r>
          </w:p>
          <w:p w:rsidR="00575336" w:rsidRPr="004731C6" w:rsidRDefault="0033796C" w:rsidP="0033796C">
            <w:pPr>
              <w:jc w:val="both"/>
              <w:rPr>
                <w:b/>
                <w:bCs/>
                <w:sz w:val="22"/>
                <w:szCs w:val="22"/>
              </w:rPr>
            </w:pPr>
            <w:r w:rsidRPr="009538F4">
              <w:rPr>
                <w:bCs/>
                <w:sz w:val="22"/>
                <w:szCs w:val="22"/>
              </w:rPr>
              <w:t>http://www.ipcc-wg2.gov/publications/AR4/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9538F4" w:rsidRPr="005E3298" w:rsidTr="00C220FE">
        <w:tc>
          <w:tcPr>
            <w:tcW w:w="4361" w:type="dxa"/>
          </w:tcPr>
          <w:p w:rsidR="009538F4" w:rsidRPr="005E3298" w:rsidRDefault="009538F4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9538F4" w:rsidRPr="00370231" w:rsidRDefault="009538F4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9538F4" w:rsidRPr="005E3298" w:rsidRDefault="009538F4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9538F4" w:rsidRDefault="009538F4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33796C" w:rsidRPr="00E15B4C" w:rsidRDefault="0033796C" w:rsidP="0033796C">
            <w:pPr>
              <w:jc w:val="both"/>
              <w:rPr>
                <w:sz w:val="22"/>
                <w:szCs w:val="22"/>
              </w:rPr>
            </w:pPr>
            <w:r w:rsidRPr="00E15B4C">
              <w:rPr>
                <w:sz w:val="22"/>
                <w:szCs w:val="22"/>
              </w:rPr>
              <w:t xml:space="preserve">Lectures. </w:t>
            </w:r>
            <w:r>
              <w:rPr>
                <w:sz w:val="22"/>
                <w:szCs w:val="22"/>
              </w:rPr>
              <w:t>Individual c</w:t>
            </w:r>
            <w:r w:rsidRPr="00E15B4C">
              <w:rPr>
                <w:sz w:val="22"/>
                <w:szCs w:val="22"/>
              </w:rPr>
              <w:t xml:space="preserve">onsultations and 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group discussions. Learning by doing (course project).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9538F4" w:rsidRPr="00370231" w:rsidRDefault="009538F4" w:rsidP="009538F4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9538F4" w:rsidRPr="00370231" w:rsidRDefault="009538F4" w:rsidP="009538F4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8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О</w:t>
            </w:r>
            <w:r w:rsidRPr="00370231">
              <w:rPr>
                <w:sz w:val="22"/>
                <w:szCs w:val="22"/>
              </w:rPr>
              <w:t>ral part of the exam</w:t>
            </w:r>
            <w:r w:rsidRPr="00370231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>2</w:t>
            </w:r>
            <w:r w:rsidRPr="00370231">
              <w:rPr>
                <w:b/>
                <w:sz w:val="22"/>
                <w:szCs w:val="22"/>
              </w:rPr>
              <w:t>0</w:t>
            </w:r>
          </w:p>
          <w:p w:rsidR="009538F4" w:rsidRPr="004731C6" w:rsidRDefault="009538F4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A7696"/>
    <w:rsid w:val="001B6B36"/>
    <w:rsid w:val="001F2A84"/>
    <w:rsid w:val="0033796C"/>
    <w:rsid w:val="00382F5E"/>
    <w:rsid w:val="004028EC"/>
    <w:rsid w:val="004731C6"/>
    <w:rsid w:val="00575336"/>
    <w:rsid w:val="005C0A0D"/>
    <w:rsid w:val="005C64B1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538F4"/>
    <w:rsid w:val="00963C99"/>
    <w:rsid w:val="009766F3"/>
    <w:rsid w:val="00A12661"/>
    <w:rsid w:val="00A171C9"/>
    <w:rsid w:val="00A92997"/>
    <w:rsid w:val="00B079AC"/>
    <w:rsid w:val="00B52C95"/>
    <w:rsid w:val="00C073A7"/>
    <w:rsid w:val="00C172A7"/>
    <w:rsid w:val="00C17D32"/>
    <w:rsid w:val="00C42B8C"/>
    <w:rsid w:val="00D30162"/>
    <w:rsid w:val="00FC15DE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3">
    <w:name w:val="heading 3"/>
    <w:basedOn w:val="Normal"/>
    <w:link w:val="Heading3Char"/>
    <w:uiPriority w:val="9"/>
    <w:qFormat/>
    <w:rsid w:val="0033796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379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rsid w:val="003379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e/28.%20Olivera%20V.%20Potic,%20redovni%20profesor.xlsx" TargetMode="External"/><Relationship Id="rId5" Type="http://schemas.openxmlformats.org/officeDocument/2006/relationships/hyperlink" Target="../P%209.3%20Knjiga%20Nastavnika%20DOS%20He/48.%20Borislava%20D.%20Blagojevic,%20docent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22</cp:revision>
  <cp:lastPrinted>2013-07-18T08:39:00Z</cp:lastPrinted>
  <dcterms:created xsi:type="dcterms:W3CDTF">2013-07-12T16:36:00Z</dcterms:created>
  <dcterms:modified xsi:type="dcterms:W3CDTF">2014-01-12T23:45:00Z</dcterms:modified>
</cp:coreProperties>
</file>