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54" w:rsidRPr="005F1C6A" w:rsidRDefault="00F64254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32. Табела 5.1 </w:t>
      </w:r>
      <w:r w:rsidRPr="00E672BA">
        <w:rPr>
          <w:lang w:val="sr-Cyrl-CS"/>
        </w:rPr>
        <w:t xml:space="preserve">Спецификација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8F2B24">
            <w:pPr>
              <w:rPr>
                <w:lang w:val="ru-RU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797475">
              <w:rPr>
                <w:b/>
                <w:bCs/>
                <w:sz w:val="22"/>
                <w:szCs w:val="22"/>
                <w:lang w:val="sr-Latn-CS"/>
              </w:rPr>
              <w:t>АРХИТЕКТОНСКА ОРГАНИЗАЦИЈА ПРОСТОРА ПРИВРЕДНИХ ЗГРАДА</w:t>
            </w:r>
          </w:p>
        </w:tc>
      </w:tr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797475">
            <w:pPr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 xml:space="preserve">Наставник или наставници: </w:t>
            </w:r>
            <w:r w:rsidR="008365FA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8365FA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"../P%209.3%20Knjiga%20Nastavnika%20DOS%20A/67.%20Branko%20AJ.%20Turnsek,%20docent.xlsx" </w:instrText>
            </w:r>
            <w:r w:rsidR="008365FA">
              <w:rPr>
                <w:b/>
                <w:bCs/>
                <w:sz w:val="22"/>
                <w:szCs w:val="22"/>
                <w:lang w:val="sr-Cyrl-CS"/>
              </w:rPr>
            </w:r>
            <w:r w:rsidR="008365FA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8365FA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Бранко А.Ј. Турншек</w:t>
            </w:r>
            <w:r w:rsidR="008365FA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F64254" w:rsidRPr="00797475" w:rsidTr="004A65AA">
        <w:tc>
          <w:tcPr>
            <w:tcW w:w="10755" w:type="dxa"/>
            <w:gridSpan w:val="3"/>
          </w:tcPr>
          <w:p w:rsidR="00F64254" w:rsidRPr="00797475" w:rsidRDefault="00F64254" w:rsidP="00797475">
            <w:r w:rsidRPr="00797475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797475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797475">
              <w:rPr>
                <w:b/>
                <w:bCs/>
                <w:sz w:val="22"/>
                <w:szCs w:val="22"/>
              </w:rPr>
              <w:t>Изборни</w:t>
            </w:r>
            <w:proofErr w:type="spellEnd"/>
          </w:p>
        </w:tc>
      </w:tr>
      <w:tr w:rsidR="00F64254" w:rsidRPr="00797475" w:rsidTr="004A65AA">
        <w:tc>
          <w:tcPr>
            <w:tcW w:w="10755" w:type="dxa"/>
            <w:gridSpan w:val="3"/>
          </w:tcPr>
          <w:p w:rsidR="00F64254" w:rsidRPr="00797475" w:rsidRDefault="00F64254" w:rsidP="00797475">
            <w:pPr>
              <w:rPr>
                <w:lang w:val="ru-RU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797475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F64254" w:rsidRPr="00797475" w:rsidTr="004A65AA">
        <w:tc>
          <w:tcPr>
            <w:tcW w:w="10755" w:type="dxa"/>
            <w:gridSpan w:val="3"/>
          </w:tcPr>
          <w:p w:rsidR="00F64254" w:rsidRPr="00797475" w:rsidRDefault="00F64254" w:rsidP="008F2B24">
            <w:pPr>
              <w:rPr>
                <w:lang w:val="ru-RU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797475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1C5011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64254" w:rsidRPr="00797475" w:rsidRDefault="00F64254" w:rsidP="001C5011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797475">
              <w:rPr>
                <w:spacing w:val="-10"/>
                <w:sz w:val="22"/>
                <w:szCs w:val="22"/>
                <w:lang w:val="sr-Latn-CS"/>
              </w:rPr>
              <w:t xml:space="preserve">Организација простора привредних комплекса и зграда, представља значајан елемент у процесу дефинисања просторног склопа, било да је реч о појединачним објектима или објектима у склопу комплекса. Имајући у виду, сложени утицај на просторни развој средине и окружења, бројност и врсту објеката, њихов просторни и временски контекст, потребан висок степен адаптибилности и рационалности, структура процеса пројектовања захтева комплексне методе истраживања и омогућава њихову примену на конкретним примерима. </w:t>
            </w:r>
          </w:p>
        </w:tc>
      </w:tr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8F2B24">
            <w:pPr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64254" w:rsidRPr="00797475" w:rsidRDefault="00F64254" w:rsidP="008F2B24">
            <w:pPr>
              <w:rPr>
                <w:lang w:val="sr-Latn-CS"/>
              </w:rPr>
            </w:pPr>
            <w:r w:rsidRPr="00797475">
              <w:rPr>
                <w:spacing w:val="-10"/>
                <w:sz w:val="22"/>
                <w:szCs w:val="22"/>
                <w:lang w:val="sr-Latn-CS"/>
              </w:rPr>
              <w:t>Савремена пракса и примена еколошких стандарда при пројектовању, од избора локације до савремених пројектантских решења, конструкција и материјала, представљају битан елемент оптимизације објеката, рационализације функционалних кара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к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те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ристика и здравствено-хигијенских усло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ва, у економском и архи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тек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 xml:space="preserve">тонском смислу. Бројност објеката и садржаја, као и примена савремених и напредних технологија условљава низ специфичности при пројектовању, ревитализацији и конверзији конкретних привредних зграда и комплекса, а њихова узрочно-последична веза омогућава како теоријски приступ, тако и практични карактер тема. </w:t>
            </w:r>
          </w:p>
        </w:tc>
      </w:tr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1C5011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64254" w:rsidRPr="00797475" w:rsidRDefault="00F64254" w:rsidP="004A65AA">
            <w:pPr>
              <w:rPr>
                <w:spacing w:val="-10"/>
                <w:lang w:val="sr-Latn-CS"/>
              </w:rPr>
            </w:pPr>
            <w:r w:rsidRPr="00797475">
              <w:rPr>
                <w:spacing w:val="-10"/>
                <w:sz w:val="22"/>
                <w:szCs w:val="22"/>
                <w:lang w:val="sr-Latn-CS"/>
              </w:rPr>
              <w:t>Меđусобни однос природних ресурса, места рада и становања у насељима и изван њих, као и моделовање урба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не и архитектонске композиције привредног комплекса, представљају полазну основу у контексту дефинисања урбане структуре, планирања и просторног развоја, односно правилног зонирања. Интерактивни  и узрочно-последични однос привредног комплекса и средине, се сагледава кроз свеукупност просторних, архитектонских, функционалних, инфра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струк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тур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 xml:space="preserve">них, социјалних и еколошких димензија. </w:t>
            </w:r>
          </w:p>
          <w:p w:rsidR="00F64254" w:rsidRPr="00797475" w:rsidRDefault="00F64254" w:rsidP="008F2B24">
            <w:pPr>
              <w:rPr>
                <w:lang w:val="sr-Latn-CS"/>
              </w:rPr>
            </w:pPr>
            <w:r w:rsidRPr="00797475">
              <w:rPr>
                <w:spacing w:val="-10"/>
                <w:sz w:val="22"/>
                <w:szCs w:val="22"/>
                <w:lang w:val="sr-Latn-CS"/>
              </w:rPr>
              <w:t>Актуелност теме утицаја радних зона и приврених комплекса на животну средину је посебно акцентирана савременим приступом пројектовања и организације комплекса. Побољшање и рационализација функционал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них кара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к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те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ристика и здравствено-хигијанских усло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ва, преформулација и оптимизација просторне организације комплекса, интервенције у архитек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тонској и урбаној композицији, социо-психолошки и економски аспекти... су елементи, битни за развој и транс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>фор</w:t>
            </w:r>
            <w:r w:rsidRPr="00797475">
              <w:rPr>
                <w:spacing w:val="-10"/>
                <w:sz w:val="22"/>
                <w:szCs w:val="22"/>
                <w:lang w:val="sr-Latn-CS"/>
              </w:rPr>
              <w:softHyphen/>
              <w:t xml:space="preserve">мацију града у контексту правилног управљања простором. </w:t>
            </w:r>
          </w:p>
        </w:tc>
      </w:tr>
      <w:tr w:rsidR="00F64254" w:rsidRPr="00797475" w:rsidTr="004A65AA">
        <w:tc>
          <w:tcPr>
            <w:tcW w:w="10755" w:type="dxa"/>
            <w:gridSpan w:val="3"/>
          </w:tcPr>
          <w:p w:rsidR="00F64254" w:rsidRPr="00797475" w:rsidRDefault="00F64254" w:rsidP="008F2B24">
            <w:pPr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F64254" w:rsidRPr="00797475" w:rsidRDefault="00F64254" w:rsidP="004A65AA">
            <w:pPr>
              <w:rPr>
                <w:lang w:val="sr-Cyrl-CS"/>
              </w:rPr>
            </w:pPr>
            <w:r w:rsidRPr="00797475">
              <w:rPr>
                <w:sz w:val="22"/>
                <w:szCs w:val="22"/>
                <w:lang w:val="sr-Cyrl-CS"/>
              </w:rPr>
              <w:t xml:space="preserve">Бранко АЈ Турншек: Посебни проблеми пројектовања </w:t>
            </w:r>
            <w:r w:rsidRPr="00797475">
              <w:rPr>
                <w:sz w:val="22"/>
                <w:szCs w:val="22"/>
                <w:lang w:val="ru-RU"/>
              </w:rPr>
              <w:t xml:space="preserve">– конверзија силоса, </w:t>
            </w:r>
            <w:r w:rsidRPr="00797475">
              <w:rPr>
                <w:sz w:val="22"/>
                <w:szCs w:val="22"/>
                <w:lang w:val="sr-Cyrl-CS"/>
              </w:rPr>
              <w:t>2013.год.</w:t>
            </w:r>
            <w:r w:rsidRPr="00797475">
              <w:rPr>
                <w:sz w:val="22"/>
                <w:szCs w:val="22"/>
                <w:lang w:val="ru-RU"/>
              </w:rPr>
              <w:t>, Грађевинско-архитектонски факултет Ниш</w:t>
            </w:r>
            <w:r w:rsidRPr="00797475">
              <w:rPr>
                <w:sz w:val="22"/>
                <w:szCs w:val="22"/>
                <w:lang w:val="sr-Cyrl-CS"/>
              </w:rPr>
              <w:t xml:space="preserve">. </w:t>
            </w:r>
          </w:p>
          <w:p w:rsidR="00F64254" w:rsidRPr="00797475" w:rsidRDefault="00F64254" w:rsidP="004A65AA">
            <w:pPr>
              <w:pStyle w:val="yiv1357938073"/>
              <w:shd w:val="clear" w:color="auto" w:fill="FFFFFF"/>
              <w:spacing w:before="0" w:beforeAutospacing="0" w:after="0" w:afterAutospacing="0" w:line="234" w:lineRule="atLeast"/>
              <w:rPr>
                <w:color w:val="000000"/>
              </w:rPr>
            </w:pPr>
            <w:r w:rsidRPr="00797475">
              <w:rPr>
                <w:color w:val="000000"/>
                <w:sz w:val="22"/>
                <w:szCs w:val="22"/>
              </w:rPr>
              <w:t>Michael Stratton (2005) Industrial Buildings Conservation</w:t>
            </w:r>
            <w:r w:rsidRPr="0079747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97475">
              <w:rPr>
                <w:color w:val="000000"/>
                <w:sz w:val="22"/>
                <w:szCs w:val="22"/>
              </w:rPr>
              <w:t xml:space="preserve">and Regeneration, </w:t>
            </w:r>
            <w:smartTag w:uri="urn:schemas-microsoft-com:office:smarttags" w:element="place">
              <w:smartTag w:uri="urn:schemas-microsoft-com:office:smarttags" w:element="City">
                <w:r w:rsidRPr="00797475">
                  <w:rPr>
                    <w:color w:val="000000"/>
                    <w:sz w:val="22"/>
                    <w:szCs w:val="22"/>
                  </w:rPr>
                  <w:t>Taylor</w:t>
                </w:r>
              </w:smartTag>
            </w:smartTag>
            <w:r w:rsidRPr="00797475">
              <w:rPr>
                <w:color w:val="000000"/>
                <w:sz w:val="22"/>
                <w:szCs w:val="22"/>
              </w:rPr>
              <w:t xml:space="preserve"> &amp; Francis e-Library</w:t>
            </w:r>
          </w:p>
          <w:p w:rsidR="00F64254" w:rsidRPr="00797475" w:rsidRDefault="00F64254" w:rsidP="008F2B24">
            <w:pPr>
              <w:rPr>
                <w:lang w:val="sr-Cyrl-CS"/>
              </w:rPr>
            </w:pPr>
            <w:r w:rsidRPr="00797475">
              <w:rPr>
                <w:color w:val="000000"/>
                <w:sz w:val="22"/>
                <w:szCs w:val="22"/>
              </w:rPr>
              <w:t xml:space="preserve">James Douglas (2006) Building Adaptation, </w:t>
            </w:r>
            <w:proofErr w:type="spellStart"/>
            <w:smartTag w:uri="urn:schemas-microsoft-com:office:smarttags" w:element="PlaceName">
              <w:r w:rsidRPr="00797475">
                <w:rPr>
                  <w:color w:val="000000"/>
                  <w:sz w:val="22"/>
                  <w:szCs w:val="22"/>
                </w:rPr>
                <w:t>Heriot</w:t>
              </w:r>
              <w:proofErr w:type="spellEnd"/>
              <w:r w:rsidRPr="00797475">
                <w:rPr>
                  <w:color w:val="000000"/>
                  <w:sz w:val="22"/>
                  <w:szCs w:val="22"/>
                </w:rPr>
                <w:t>-Watt</w:t>
              </w:r>
            </w:smartTag>
            <w:r w:rsidRPr="00797475">
              <w:rPr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797475">
                <w:rPr>
                  <w:color w:val="000000"/>
                  <w:sz w:val="22"/>
                  <w:szCs w:val="22"/>
                </w:rPr>
                <w:t>University</w:t>
              </w:r>
            </w:smartTag>
            <w:r w:rsidRPr="00797475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797475">
                  <w:rPr>
                    <w:color w:val="000000"/>
                    <w:sz w:val="22"/>
                    <w:szCs w:val="22"/>
                  </w:rPr>
                  <w:t>Edinburgh</w:t>
                </w:r>
              </w:smartTag>
              <w:r w:rsidRPr="00797475">
                <w:rPr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97475">
                  <w:rPr>
                    <w:color w:val="000000"/>
                    <w:sz w:val="22"/>
                    <w:szCs w:val="22"/>
                  </w:rPr>
                  <w:t>UK</w:t>
                </w:r>
              </w:smartTag>
            </w:smartTag>
          </w:p>
        </w:tc>
      </w:tr>
      <w:tr w:rsidR="00F64254" w:rsidRPr="00797475" w:rsidTr="004A65AA">
        <w:tc>
          <w:tcPr>
            <w:tcW w:w="3231" w:type="dxa"/>
          </w:tcPr>
          <w:p w:rsidR="00F64254" w:rsidRPr="00797475" w:rsidRDefault="00F64254" w:rsidP="008F2B24">
            <w:pPr>
              <w:rPr>
                <w:lang w:val="sr-Cyrl-CS"/>
              </w:rPr>
            </w:pPr>
            <w:r w:rsidRPr="00797475">
              <w:rPr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3230" w:type="dxa"/>
          </w:tcPr>
          <w:p w:rsidR="00F64254" w:rsidRPr="00797475" w:rsidRDefault="00F64254" w:rsidP="008F2B24">
            <w:pPr>
              <w:rPr>
                <w:lang w:val="sr-Cyrl-CS"/>
              </w:rPr>
            </w:pPr>
            <w:proofErr w:type="spellStart"/>
            <w:r w:rsidRPr="00797475">
              <w:rPr>
                <w:sz w:val="22"/>
                <w:szCs w:val="22"/>
              </w:rPr>
              <w:t>предавања</w:t>
            </w:r>
            <w:proofErr w:type="spellEnd"/>
            <w:r w:rsidRPr="00797475">
              <w:rPr>
                <w:sz w:val="22"/>
                <w:szCs w:val="22"/>
                <w:lang w:val="sr-Cyrl-CS"/>
              </w:rPr>
              <w:t>: 3</w:t>
            </w:r>
          </w:p>
        </w:tc>
        <w:tc>
          <w:tcPr>
            <w:tcW w:w="4294" w:type="dxa"/>
          </w:tcPr>
          <w:p w:rsidR="00F64254" w:rsidRPr="00797475" w:rsidRDefault="00F64254" w:rsidP="008F2B24">
            <w:pPr>
              <w:rPr>
                <w:lang w:val="sr-Cyrl-CS"/>
              </w:rPr>
            </w:pPr>
            <w:proofErr w:type="spellStart"/>
            <w:r w:rsidRPr="00797475">
              <w:rPr>
                <w:sz w:val="22"/>
                <w:szCs w:val="22"/>
              </w:rPr>
              <w:t>Студијски</w:t>
            </w:r>
            <w:proofErr w:type="spellEnd"/>
            <w:r w:rsidRPr="00797475">
              <w:rPr>
                <w:sz w:val="22"/>
                <w:szCs w:val="22"/>
              </w:rPr>
              <w:t xml:space="preserve"> </w:t>
            </w:r>
            <w:proofErr w:type="spellStart"/>
            <w:r w:rsidRPr="00797475">
              <w:rPr>
                <w:sz w:val="22"/>
                <w:szCs w:val="22"/>
              </w:rPr>
              <w:t>истраживачки</w:t>
            </w:r>
            <w:proofErr w:type="spellEnd"/>
            <w:r w:rsidRPr="00797475">
              <w:rPr>
                <w:sz w:val="22"/>
                <w:szCs w:val="22"/>
              </w:rPr>
              <w:t xml:space="preserve"> </w:t>
            </w:r>
            <w:proofErr w:type="spellStart"/>
            <w:r w:rsidRPr="00797475">
              <w:rPr>
                <w:sz w:val="22"/>
                <w:szCs w:val="22"/>
              </w:rPr>
              <w:t>рад</w:t>
            </w:r>
            <w:proofErr w:type="spellEnd"/>
            <w:r w:rsidRPr="00797475">
              <w:rPr>
                <w:sz w:val="22"/>
                <w:szCs w:val="22"/>
                <w:lang w:val="ru-RU"/>
              </w:rPr>
              <w:t>: 4</w:t>
            </w:r>
          </w:p>
        </w:tc>
      </w:tr>
      <w:tr w:rsidR="00F64254" w:rsidRPr="00AD07AA" w:rsidTr="004A65AA">
        <w:tc>
          <w:tcPr>
            <w:tcW w:w="10755" w:type="dxa"/>
            <w:gridSpan w:val="3"/>
          </w:tcPr>
          <w:p w:rsidR="00F64254" w:rsidRPr="00797475" w:rsidRDefault="00F64254" w:rsidP="008F2B24">
            <w:pPr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64254" w:rsidRPr="00797475" w:rsidRDefault="00F64254" w:rsidP="002D62D1">
            <w:pPr>
              <w:jc w:val="both"/>
              <w:rPr>
                <w:lang w:val="ru-RU"/>
              </w:rPr>
            </w:pPr>
            <w:r w:rsidRPr="00797475">
              <w:rPr>
                <w:i/>
                <w:iCs/>
                <w:sz w:val="22"/>
                <w:szCs w:val="22"/>
                <w:lang w:val="sr-Cyrl-CS"/>
              </w:rPr>
              <w:t>Теоријска настав</w:t>
            </w:r>
            <w:r w:rsidRPr="00797475">
              <w:rPr>
                <w:i/>
                <w:iCs/>
                <w:sz w:val="22"/>
                <w:szCs w:val="22"/>
              </w:rPr>
              <w:t>a</w:t>
            </w:r>
            <w:r w:rsidRPr="00797475">
              <w:rPr>
                <w:i/>
                <w:iCs/>
                <w:sz w:val="22"/>
                <w:szCs w:val="22"/>
                <w:lang w:val="sr-Cyrl-CS"/>
              </w:rPr>
              <w:t>:</w:t>
            </w:r>
            <w:r w:rsidRPr="00797475">
              <w:rPr>
                <w:sz w:val="22"/>
                <w:szCs w:val="22"/>
                <w:lang w:val="ru-RU"/>
              </w:rPr>
              <w:t xml:space="preserve"> Настава је организована сходно опредељењу и усмерењу студената и по потреби може бити организована у три тематске целине: индустријски објекти, објекти мале привреде и пољопривредни комплекси. </w:t>
            </w:r>
            <w:r w:rsidRPr="00797475">
              <w:rPr>
                <w:sz w:val="22"/>
                <w:szCs w:val="22"/>
                <w:lang w:val="sr-Cyrl-CS"/>
              </w:rPr>
              <w:t>Настава се одвија уз примену савремених аудиовизуелних средстава, а подразумева комбинацију различитих метода (жива реч, монолог и дискусија о темама које су предмет изучавања, приказивање филмова, слика, пројеката, најсавременијих решења примењених код нас и у свету).</w:t>
            </w:r>
          </w:p>
          <w:p w:rsidR="00F64254" w:rsidRPr="00797475" w:rsidRDefault="00F64254" w:rsidP="002D62D1">
            <w:pPr>
              <w:rPr>
                <w:i/>
                <w:iCs/>
                <w:lang w:val="ru-RU"/>
              </w:rPr>
            </w:pPr>
            <w:r w:rsidRPr="00797475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797475">
              <w:rPr>
                <w:i/>
                <w:iCs/>
                <w:sz w:val="22"/>
                <w:szCs w:val="22"/>
                <w:lang w:val="ru-RU"/>
              </w:rPr>
              <w:t>:Вежбе, Студијски истраживачки рад</w:t>
            </w:r>
          </w:p>
          <w:p w:rsidR="00F64254" w:rsidRPr="00797475" w:rsidRDefault="00F64254" w:rsidP="008F2B24">
            <w:pPr>
              <w:rPr>
                <w:lang w:val="sr-Cyrl-CS"/>
              </w:rPr>
            </w:pPr>
            <w:r w:rsidRPr="00797475">
              <w:rPr>
                <w:sz w:val="22"/>
                <w:szCs w:val="22"/>
                <w:lang w:val="sr-Cyrl-CS"/>
              </w:rPr>
              <w:t>Студијски истраживачки рад (семинарски и научни радови, студије, анализе...) представља наставак едукације, односно оспособљавања студента за самостално истраживање, концептуалног осмишљавања, креативног сагледавања проблема и доношења валидних закључака, који ће бити преточени у одговарајуће пројекте, студије и програме. Самостално истраживање студената на терену, би требало да додатно афирмише функционалну везу теорије и праксе, односно прак</w:t>
            </w:r>
            <w:r w:rsidRPr="00797475">
              <w:rPr>
                <w:sz w:val="22"/>
                <w:szCs w:val="22"/>
                <w:lang w:val="sr-Cyrl-CS"/>
              </w:rPr>
              <w:softHyphen/>
              <w:t>ти</w:t>
            </w:r>
            <w:r w:rsidRPr="00797475">
              <w:rPr>
                <w:sz w:val="22"/>
                <w:szCs w:val="22"/>
                <w:lang w:val="sr-Cyrl-CS"/>
              </w:rPr>
              <w:softHyphen/>
              <w:t>чну примену стечених сазнања.</w:t>
            </w:r>
          </w:p>
        </w:tc>
      </w:tr>
      <w:tr w:rsidR="00F64254" w:rsidRPr="00797475" w:rsidTr="004A65AA">
        <w:tc>
          <w:tcPr>
            <w:tcW w:w="10755" w:type="dxa"/>
            <w:gridSpan w:val="3"/>
          </w:tcPr>
          <w:p w:rsidR="00F64254" w:rsidRPr="00797475" w:rsidRDefault="00F64254" w:rsidP="001C50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797475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F64254" w:rsidRPr="00797475" w:rsidRDefault="00F64254" w:rsidP="002D62D1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97475">
              <w:rPr>
                <w:sz w:val="22"/>
                <w:szCs w:val="22"/>
                <w:lang w:val="sr-Cyrl-CS"/>
              </w:rPr>
              <w:t>Израда семинарског рада, заснована на самосталном, практичном истраживању или истраживању из праксе и усмена одбрана истог. Уместо истог (одране) може бити прихваћен и рад објављен на саветовању одговарајућег карактера. Овако формулисана активност (рад) носи 100 поена.</w:t>
            </w:r>
          </w:p>
        </w:tc>
      </w:tr>
    </w:tbl>
    <w:p w:rsidR="00F64254" w:rsidRPr="00797475" w:rsidRDefault="00F64254">
      <w:pPr>
        <w:rPr>
          <w:sz w:val="22"/>
          <w:szCs w:val="22"/>
          <w:lang w:val="sr-Latn-CS"/>
        </w:rPr>
      </w:pPr>
      <w:bookmarkStart w:id="0" w:name="_GoBack"/>
      <w:bookmarkEnd w:id="0"/>
    </w:p>
    <w:sectPr w:rsidR="00F64254" w:rsidRPr="00797475" w:rsidSect="00AD07AA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8CD"/>
    <w:multiLevelType w:val="hybridMultilevel"/>
    <w:tmpl w:val="F03A9706"/>
    <w:lvl w:ilvl="0" w:tplc="6A5E06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CE5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86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6F1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FC7F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8E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27F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00B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E6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D61AA"/>
    <w:multiLevelType w:val="hybridMultilevel"/>
    <w:tmpl w:val="E536EA26"/>
    <w:lvl w:ilvl="0" w:tplc="35D0D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C40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28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54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024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E2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4E8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07E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64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822F4"/>
    <w:rsid w:val="001C5011"/>
    <w:rsid w:val="002B63CA"/>
    <w:rsid w:val="002D3DFA"/>
    <w:rsid w:val="002D62D1"/>
    <w:rsid w:val="004A65AA"/>
    <w:rsid w:val="004B6631"/>
    <w:rsid w:val="005469AA"/>
    <w:rsid w:val="005D05D8"/>
    <w:rsid w:val="005F1C6A"/>
    <w:rsid w:val="007006F0"/>
    <w:rsid w:val="00797475"/>
    <w:rsid w:val="008365FA"/>
    <w:rsid w:val="008E544F"/>
    <w:rsid w:val="008F2B24"/>
    <w:rsid w:val="00A35FDD"/>
    <w:rsid w:val="00A50C3E"/>
    <w:rsid w:val="00AA39CC"/>
    <w:rsid w:val="00AD07AA"/>
    <w:rsid w:val="00AE4636"/>
    <w:rsid w:val="00B079AC"/>
    <w:rsid w:val="00BD7019"/>
    <w:rsid w:val="00C12FC0"/>
    <w:rsid w:val="00C50118"/>
    <w:rsid w:val="00E672BA"/>
    <w:rsid w:val="00EB7B24"/>
    <w:rsid w:val="00F1573E"/>
    <w:rsid w:val="00F2752B"/>
    <w:rsid w:val="00F64254"/>
    <w:rsid w:val="00FA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357938073">
    <w:name w:val="yiv1357938073"/>
    <w:basedOn w:val="Normal"/>
    <w:uiPriority w:val="99"/>
    <w:rsid w:val="004A65A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4A65AA"/>
  </w:style>
  <w:style w:type="character" w:styleId="Hyperlink">
    <w:name w:val="Hyperlink"/>
    <w:basedOn w:val="DefaultParagraphFont"/>
    <w:uiPriority w:val="99"/>
    <w:unhideWhenUsed/>
    <w:rsid w:val="00836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3646</Characters>
  <Application>Microsoft Office Word</Application>
  <DocSecurity>0</DocSecurity>
  <Lines>30</Lines>
  <Paragraphs>8</Paragraphs>
  <ScaleCrop>false</ScaleCrop>
  <Company>SG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5</cp:revision>
  <dcterms:created xsi:type="dcterms:W3CDTF">2013-12-25T20:39:00Z</dcterms:created>
  <dcterms:modified xsi:type="dcterms:W3CDTF">2014-01-12T21:13:00Z</dcterms:modified>
</cp:coreProperties>
</file>